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95E010" w14:textId="105415D9" w:rsidR="00FD45CD" w:rsidRPr="00DA12F7" w:rsidRDefault="00FD45CD" w:rsidP="00FD45CD">
      <w:pPr>
        <w:tabs>
          <w:tab w:val="right" w:pos="9630"/>
        </w:tabs>
        <w:spacing w:after="0"/>
      </w:pPr>
      <w:r w:rsidRPr="00DA12F7">
        <w:rPr>
          <w:rFonts w:ascii="Arial" w:hAnsi="Arial" w:cs="Arial"/>
          <w:b/>
          <w:sz w:val="24"/>
        </w:rPr>
        <w:t xml:space="preserve">3GPP TSG RAN </w:t>
      </w:r>
      <w:r w:rsidR="004C4DD9" w:rsidRPr="00DA12F7">
        <w:rPr>
          <w:rFonts w:ascii="Arial" w:hAnsi="Arial" w:cs="Arial"/>
          <w:b/>
          <w:sz w:val="24"/>
        </w:rPr>
        <w:t>WG</w:t>
      </w:r>
      <w:r w:rsidR="004C4DD9">
        <w:rPr>
          <w:rFonts w:ascii="Arial" w:hAnsi="Arial" w:cs="Arial"/>
          <w:b/>
          <w:sz w:val="24"/>
        </w:rPr>
        <w:t>1</w:t>
      </w:r>
      <w:r w:rsidR="004C4DD9" w:rsidRPr="00DA12F7">
        <w:rPr>
          <w:rFonts w:ascii="Arial" w:hAnsi="Arial" w:cs="Arial"/>
          <w:b/>
          <w:sz w:val="24"/>
        </w:rPr>
        <w:t xml:space="preserve"> </w:t>
      </w:r>
      <w:r w:rsidRPr="00DA12F7">
        <w:rPr>
          <w:rFonts w:ascii="Arial" w:hAnsi="Arial" w:cs="Arial"/>
          <w:b/>
          <w:sz w:val="24"/>
        </w:rPr>
        <w:t>#</w:t>
      </w:r>
      <w:r w:rsidR="00E97903">
        <w:rPr>
          <w:rFonts w:ascii="Arial" w:hAnsi="Arial" w:cs="Arial"/>
          <w:b/>
          <w:sz w:val="24"/>
        </w:rPr>
        <w:t>8</w:t>
      </w:r>
      <w:r w:rsidR="00D14560">
        <w:rPr>
          <w:rFonts w:ascii="Arial" w:hAnsi="Arial" w:cs="Arial"/>
          <w:b/>
          <w:sz w:val="24"/>
        </w:rPr>
        <w:t>8</w:t>
      </w:r>
      <w:r w:rsidR="005A6B27">
        <w:rPr>
          <w:rFonts w:ascii="Arial" w:hAnsi="Arial" w:cs="Arial"/>
          <w:b/>
          <w:sz w:val="24"/>
        </w:rPr>
        <w:t>b</w:t>
      </w:r>
      <w:r w:rsidRPr="00DA12F7">
        <w:rPr>
          <w:rFonts w:ascii="Arial" w:hAnsi="Arial" w:cs="Arial"/>
          <w:b/>
          <w:sz w:val="24"/>
        </w:rPr>
        <w:tab/>
        <w:t>R1-</w:t>
      </w:r>
      <w:r w:rsidR="005B533B" w:rsidRPr="005B533B">
        <w:rPr>
          <w:rFonts w:ascii="Arial" w:hAnsi="Arial" w:cs="Arial"/>
          <w:b/>
          <w:sz w:val="24"/>
        </w:rPr>
        <w:t>1704992</w:t>
      </w:r>
    </w:p>
    <w:p w14:paraId="13C19C48" w14:textId="389F04C3" w:rsidR="00FD45CD" w:rsidRPr="00DA12F7" w:rsidRDefault="005A6B27" w:rsidP="00FD45CD">
      <w:pPr>
        <w:tabs>
          <w:tab w:val="right" w:pos="9630"/>
        </w:tabs>
        <w:spacing w:after="0"/>
        <w:rPr>
          <w:rFonts w:ascii="Arial" w:hAnsi="Arial" w:cs="Arial"/>
          <w:b/>
          <w:sz w:val="24"/>
          <w:szCs w:val="24"/>
        </w:rPr>
      </w:pPr>
      <w:r>
        <w:rPr>
          <w:rFonts w:ascii="Arial" w:hAnsi="Arial" w:cs="Arial"/>
          <w:b/>
          <w:sz w:val="24"/>
          <w:szCs w:val="24"/>
        </w:rPr>
        <w:t xml:space="preserve">April </w:t>
      </w:r>
      <w:r w:rsidR="00D14560">
        <w:rPr>
          <w:rFonts w:ascii="Arial" w:hAnsi="Arial" w:cs="Arial"/>
          <w:b/>
          <w:sz w:val="24"/>
          <w:szCs w:val="24"/>
        </w:rPr>
        <w:t>3</w:t>
      </w:r>
      <w:r>
        <w:rPr>
          <w:rFonts w:ascii="Arial" w:hAnsi="Arial" w:cs="Arial"/>
          <w:b/>
          <w:sz w:val="24"/>
          <w:szCs w:val="24"/>
          <w:vertAlign w:val="superscript"/>
        </w:rPr>
        <w:t>rd</w:t>
      </w:r>
      <w:r w:rsidR="00485E94">
        <w:rPr>
          <w:rFonts w:ascii="Arial" w:hAnsi="Arial" w:cs="Arial"/>
          <w:b/>
          <w:sz w:val="24"/>
          <w:szCs w:val="24"/>
        </w:rPr>
        <w:t>–</w:t>
      </w:r>
      <w:r w:rsidR="00D14560">
        <w:rPr>
          <w:rFonts w:ascii="Arial" w:hAnsi="Arial" w:cs="Arial"/>
          <w:b/>
          <w:sz w:val="24"/>
          <w:szCs w:val="24"/>
        </w:rPr>
        <w:t>7</w:t>
      </w:r>
      <w:r w:rsidR="00DB30AC" w:rsidRPr="0064244B">
        <w:rPr>
          <w:rFonts w:ascii="Arial" w:hAnsi="Arial" w:cs="Arial"/>
          <w:b/>
          <w:sz w:val="24"/>
          <w:szCs w:val="24"/>
          <w:vertAlign w:val="superscript"/>
        </w:rPr>
        <w:t>th</w:t>
      </w:r>
      <w:r w:rsidR="00FD45CD" w:rsidRPr="00DA12F7">
        <w:rPr>
          <w:rFonts w:ascii="Arial" w:hAnsi="Arial" w:cs="Arial"/>
          <w:b/>
          <w:sz w:val="24"/>
          <w:szCs w:val="24"/>
        </w:rPr>
        <w:t>, 201</w:t>
      </w:r>
      <w:r w:rsidR="00D14560">
        <w:rPr>
          <w:rFonts w:ascii="Arial" w:hAnsi="Arial" w:cs="Arial"/>
          <w:b/>
          <w:sz w:val="24"/>
          <w:szCs w:val="24"/>
        </w:rPr>
        <w:t>7</w:t>
      </w:r>
    </w:p>
    <w:p w14:paraId="0595412A" w14:textId="0A73CD26" w:rsidR="00FD45CD" w:rsidRPr="00DA12F7" w:rsidRDefault="005A6B27" w:rsidP="00FD45CD">
      <w:pPr>
        <w:rPr>
          <w:rFonts w:ascii="Arial" w:hAnsi="Arial" w:cs="Arial"/>
          <w:b/>
          <w:sz w:val="24"/>
          <w:szCs w:val="24"/>
        </w:rPr>
      </w:pPr>
      <w:r>
        <w:rPr>
          <w:rFonts w:ascii="Arial" w:hAnsi="Arial" w:cs="Arial"/>
          <w:b/>
          <w:sz w:val="24"/>
          <w:szCs w:val="24"/>
        </w:rPr>
        <w:t>Spokane, 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1791DECF"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D14560">
        <w:rPr>
          <w:rFonts w:ascii="Arial" w:hAnsi="Arial"/>
          <w:sz w:val="24"/>
        </w:rPr>
        <w:t>7.</w:t>
      </w:r>
      <w:r w:rsidR="00B2388A">
        <w:rPr>
          <w:rFonts w:ascii="Arial" w:hAnsi="Arial"/>
          <w:sz w:val="24"/>
        </w:rPr>
        <w:t>2</w:t>
      </w:r>
      <w:r w:rsidR="00155BCB">
        <w:rPr>
          <w:rFonts w:ascii="Arial" w:hAnsi="Arial"/>
          <w:sz w:val="24"/>
        </w:rPr>
        <w:t>.</w:t>
      </w:r>
      <w:r w:rsidR="005A6B27">
        <w:rPr>
          <w:rFonts w:ascii="Arial" w:hAnsi="Arial"/>
          <w:sz w:val="24"/>
        </w:rPr>
        <w:t>1</w:t>
      </w:r>
      <w:r w:rsidR="00155BCB">
        <w:rPr>
          <w:rFonts w:ascii="Arial" w:hAnsi="Arial"/>
          <w:sz w:val="24"/>
        </w:rPr>
        <w:t>.</w:t>
      </w:r>
      <w:r w:rsidR="006034B0">
        <w:rPr>
          <w:rFonts w:ascii="Arial" w:hAnsi="Arial"/>
          <w:sz w:val="24"/>
        </w:rPr>
        <w:t>2</w:t>
      </w:r>
      <w:r w:rsidR="00D14560">
        <w:rPr>
          <w:rFonts w:ascii="Arial" w:hAnsi="Arial"/>
          <w:sz w:val="24"/>
        </w:rPr>
        <w:t>.4</w:t>
      </w:r>
      <w:r w:rsidR="006034B0">
        <w:rPr>
          <w:rFonts w:ascii="Arial" w:hAnsi="Arial"/>
          <w:sz w:val="24"/>
        </w:rPr>
        <w:t>.</w:t>
      </w:r>
      <w:r w:rsidR="00553FCF">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05171E49"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FB578A">
        <w:rPr>
          <w:rFonts w:ascii="Arial" w:hAnsi="Arial"/>
          <w:sz w:val="24"/>
        </w:rPr>
        <w:t>Design Details of the Shortened PDSCH</w:t>
      </w:r>
      <w:r w:rsidR="00A20EB0">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75C7A5B3" w:rsidR="004C7384" w:rsidRDefault="00D127A5" w:rsidP="00F30894">
      <w:pPr>
        <w:jc w:val="both"/>
      </w:pPr>
      <w:r>
        <w:t>In RAN1 #86b and #87, the following agreements are reached, respectively:</w:t>
      </w:r>
    </w:p>
    <w:p w14:paraId="279A22E6" w14:textId="77777777" w:rsidR="00112035" w:rsidRPr="00D127A5" w:rsidRDefault="008830F5" w:rsidP="00D127A5">
      <w:pPr>
        <w:pStyle w:val="ListParagraph"/>
        <w:numPr>
          <w:ilvl w:val="0"/>
          <w:numId w:val="39"/>
        </w:numPr>
        <w:jc w:val="both"/>
        <w:rPr>
          <w:i/>
          <w:sz w:val="20"/>
        </w:rPr>
      </w:pPr>
      <w:r w:rsidRPr="00D127A5">
        <w:rPr>
          <w:rFonts w:eastAsiaTheme="minorEastAsia"/>
          <w:i/>
          <w:sz w:val="20"/>
        </w:rPr>
        <w:t xml:space="preserve">For DL transmission for </w:t>
      </w:r>
      <w:proofErr w:type="spellStart"/>
      <w:r w:rsidRPr="00D127A5">
        <w:rPr>
          <w:rFonts w:eastAsiaTheme="minorEastAsia"/>
          <w:i/>
          <w:sz w:val="20"/>
        </w:rPr>
        <w:t>sTTI</w:t>
      </w:r>
      <w:proofErr w:type="spellEnd"/>
    </w:p>
    <w:p w14:paraId="5F399836" w14:textId="77777777" w:rsidR="00112035" w:rsidRPr="00D127A5" w:rsidRDefault="008830F5" w:rsidP="00D127A5">
      <w:pPr>
        <w:pStyle w:val="ListParagraph"/>
        <w:numPr>
          <w:ilvl w:val="1"/>
          <w:numId w:val="39"/>
        </w:numPr>
        <w:jc w:val="both"/>
        <w:rPr>
          <w:i/>
          <w:sz w:val="20"/>
        </w:rPr>
      </w:pPr>
      <w:r w:rsidRPr="00D127A5">
        <w:rPr>
          <w:rFonts w:eastAsiaTheme="minorEastAsia"/>
          <w:i/>
          <w:sz w:val="20"/>
        </w:rPr>
        <w:t xml:space="preserve">TM1, 2, 3, 4, 6, 9, </w:t>
      </w:r>
      <w:proofErr w:type="gramStart"/>
      <w:r w:rsidRPr="00D127A5">
        <w:rPr>
          <w:rFonts w:eastAsiaTheme="minorEastAsia"/>
          <w:i/>
          <w:sz w:val="20"/>
        </w:rPr>
        <w:t>10</w:t>
      </w:r>
      <w:proofErr w:type="gramEnd"/>
      <w:r w:rsidRPr="00D127A5">
        <w:rPr>
          <w:rFonts w:eastAsiaTheme="minorEastAsia"/>
          <w:i/>
          <w:sz w:val="20"/>
        </w:rPr>
        <w:t xml:space="preserve"> are supported for FS1.</w:t>
      </w:r>
    </w:p>
    <w:p w14:paraId="3F913479" w14:textId="77777777" w:rsidR="00112035" w:rsidRPr="00D127A5" w:rsidRDefault="008830F5" w:rsidP="00D127A5">
      <w:pPr>
        <w:pStyle w:val="ListParagraph"/>
        <w:numPr>
          <w:ilvl w:val="1"/>
          <w:numId w:val="39"/>
        </w:numPr>
        <w:jc w:val="both"/>
        <w:rPr>
          <w:i/>
          <w:sz w:val="20"/>
        </w:rPr>
      </w:pPr>
      <w:r w:rsidRPr="00D127A5">
        <w:rPr>
          <w:rFonts w:eastAsiaTheme="minorEastAsia"/>
          <w:i/>
          <w:sz w:val="20"/>
        </w:rPr>
        <w:t xml:space="preserve">TM1, 2, 3, 4, 6, 8, 9, </w:t>
      </w:r>
      <w:proofErr w:type="gramStart"/>
      <w:r w:rsidRPr="00D127A5">
        <w:rPr>
          <w:rFonts w:eastAsiaTheme="minorEastAsia"/>
          <w:i/>
          <w:sz w:val="20"/>
        </w:rPr>
        <w:t>10</w:t>
      </w:r>
      <w:proofErr w:type="gramEnd"/>
      <w:r w:rsidRPr="00D127A5">
        <w:rPr>
          <w:rFonts w:eastAsiaTheme="minorEastAsia"/>
          <w:i/>
          <w:sz w:val="20"/>
        </w:rPr>
        <w:t xml:space="preserve"> are supported for slot based </w:t>
      </w:r>
      <w:proofErr w:type="spellStart"/>
      <w:r w:rsidRPr="00D127A5">
        <w:rPr>
          <w:rFonts w:eastAsiaTheme="minorEastAsia"/>
          <w:i/>
          <w:sz w:val="20"/>
        </w:rPr>
        <w:t>sTTI</w:t>
      </w:r>
      <w:proofErr w:type="spellEnd"/>
      <w:r w:rsidRPr="00D127A5">
        <w:rPr>
          <w:rFonts w:eastAsiaTheme="minorEastAsia"/>
          <w:i/>
          <w:sz w:val="20"/>
        </w:rPr>
        <w:t xml:space="preserve"> for FS2.</w:t>
      </w:r>
    </w:p>
    <w:p w14:paraId="4096CC2A" w14:textId="5D1048D7" w:rsidR="00112035" w:rsidRPr="00D127A5" w:rsidRDefault="008830F5" w:rsidP="00D127A5">
      <w:pPr>
        <w:pStyle w:val="ListParagraph"/>
        <w:numPr>
          <w:ilvl w:val="1"/>
          <w:numId w:val="39"/>
        </w:numPr>
        <w:jc w:val="both"/>
        <w:rPr>
          <w:i/>
          <w:sz w:val="20"/>
        </w:rPr>
      </w:pPr>
      <w:r w:rsidRPr="00D127A5">
        <w:rPr>
          <w:rFonts w:eastAsiaTheme="minorEastAsia"/>
          <w:i/>
          <w:sz w:val="20"/>
        </w:rPr>
        <w:t xml:space="preserve">Note: For 2 symbol </w:t>
      </w:r>
      <w:proofErr w:type="spellStart"/>
      <w:r w:rsidRPr="00D127A5">
        <w:rPr>
          <w:rFonts w:eastAsiaTheme="minorEastAsia"/>
          <w:i/>
          <w:sz w:val="20"/>
        </w:rPr>
        <w:t>sTTI</w:t>
      </w:r>
      <w:proofErr w:type="spellEnd"/>
      <w:r w:rsidRPr="00D127A5">
        <w:rPr>
          <w:rFonts w:eastAsiaTheme="minorEastAsia"/>
          <w:i/>
          <w:sz w:val="20"/>
        </w:rPr>
        <w:t xml:space="preserve"> design TM8 is not supported in this WI</w:t>
      </w:r>
      <w:r w:rsidR="00D127A5" w:rsidRPr="00D127A5">
        <w:rPr>
          <w:rFonts w:eastAsiaTheme="minorEastAsia"/>
          <w:i/>
          <w:sz w:val="20"/>
        </w:rPr>
        <w:t>.</w:t>
      </w:r>
    </w:p>
    <w:p w14:paraId="17F2BEBD" w14:textId="77777777" w:rsidR="00D127A5" w:rsidRPr="00D127A5" w:rsidRDefault="00D127A5" w:rsidP="00D127A5">
      <w:pPr>
        <w:jc w:val="both"/>
        <w:rPr>
          <w:i/>
        </w:rPr>
      </w:pPr>
    </w:p>
    <w:p w14:paraId="500812CC" w14:textId="3E3B71B7" w:rsidR="00112035" w:rsidRPr="00D127A5" w:rsidRDefault="008830F5" w:rsidP="00D127A5">
      <w:pPr>
        <w:pStyle w:val="ListParagraph"/>
        <w:numPr>
          <w:ilvl w:val="0"/>
          <w:numId w:val="39"/>
        </w:numPr>
        <w:jc w:val="both"/>
        <w:rPr>
          <w:i/>
          <w:sz w:val="20"/>
        </w:rPr>
      </w:pPr>
      <w:r w:rsidRPr="00D127A5">
        <w:rPr>
          <w:rFonts w:eastAsiaTheme="minorEastAsia"/>
          <w:i/>
          <w:sz w:val="20"/>
        </w:rPr>
        <w:t xml:space="preserve">A UE can be dynamically (with a </w:t>
      </w:r>
      <w:proofErr w:type="spellStart"/>
      <w:r w:rsidRPr="00D127A5">
        <w:rPr>
          <w:rFonts w:eastAsiaTheme="minorEastAsia"/>
          <w:i/>
          <w:sz w:val="20"/>
        </w:rPr>
        <w:t>subframe</w:t>
      </w:r>
      <w:proofErr w:type="spellEnd"/>
      <w:r w:rsidRPr="00D127A5">
        <w:rPr>
          <w:rFonts w:eastAsiaTheme="minorEastAsia"/>
          <w:i/>
          <w:sz w:val="20"/>
        </w:rPr>
        <w:t xml:space="preserve"> to </w:t>
      </w:r>
      <w:proofErr w:type="spellStart"/>
      <w:r w:rsidRPr="00D127A5">
        <w:rPr>
          <w:rFonts w:eastAsiaTheme="minorEastAsia"/>
          <w:i/>
          <w:sz w:val="20"/>
        </w:rPr>
        <w:t>subframe</w:t>
      </w:r>
      <w:proofErr w:type="spellEnd"/>
      <w:r w:rsidRPr="00D127A5">
        <w:rPr>
          <w:rFonts w:eastAsiaTheme="minorEastAsia"/>
          <w:i/>
          <w:sz w:val="20"/>
        </w:rPr>
        <w:t xml:space="preserve"> granularity) scheduled with legacy TTI unicast PDSCH and/or short TTI unicast PDSCH</w:t>
      </w:r>
      <w:r w:rsidR="00D127A5" w:rsidRPr="00D127A5">
        <w:rPr>
          <w:rFonts w:eastAsiaTheme="minorEastAsia"/>
          <w:i/>
          <w:sz w:val="20"/>
        </w:rPr>
        <w:t>.</w:t>
      </w:r>
    </w:p>
    <w:p w14:paraId="60C5F5B9" w14:textId="098647C9" w:rsidR="00112035" w:rsidRPr="00D127A5" w:rsidRDefault="008830F5" w:rsidP="00D127A5">
      <w:pPr>
        <w:pStyle w:val="ListParagraph"/>
        <w:numPr>
          <w:ilvl w:val="0"/>
          <w:numId w:val="39"/>
        </w:numPr>
        <w:jc w:val="both"/>
        <w:rPr>
          <w:i/>
          <w:sz w:val="20"/>
        </w:rPr>
      </w:pPr>
      <w:r w:rsidRPr="00D127A5">
        <w:rPr>
          <w:rFonts w:eastAsiaTheme="minorEastAsia"/>
          <w:i/>
          <w:sz w:val="20"/>
        </w:rPr>
        <w:t xml:space="preserve">If the UE is indicating the capability of decoding PDSCH and </w:t>
      </w:r>
      <w:proofErr w:type="spellStart"/>
      <w:r w:rsidRPr="00D127A5">
        <w:rPr>
          <w:rFonts w:eastAsiaTheme="minorEastAsia"/>
          <w:i/>
          <w:sz w:val="20"/>
        </w:rPr>
        <w:t>sPDSCH</w:t>
      </w:r>
      <w:proofErr w:type="spellEnd"/>
      <w:r w:rsidRPr="00D127A5">
        <w:rPr>
          <w:rFonts w:eastAsiaTheme="minorEastAsia"/>
          <w:i/>
          <w:sz w:val="20"/>
        </w:rPr>
        <w:t xml:space="preserve"> assigned with C-RNTI/SPS C-RNTI in the same </w:t>
      </w:r>
      <w:proofErr w:type="spellStart"/>
      <w:r w:rsidRPr="00D127A5">
        <w:rPr>
          <w:rFonts w:eastAsiaTheme="minorEastAsia"/>
          <w:i/>
          <w:sz w:val="20"/>
        </w:rPr>
        <w:t>subframe</w:t>
      </w:r>
      <w:proofErr w:type="spellEnd"/>
      <w:r w:rsidRPr="00D127A5">
        <w:rPr>
          <w:rFonts w:eastAsiaTheme="minorEastAsia"/>
          <w:i/>
          <w:sz w:val="20"/>
        </w:rPr>
        <w:t xml:space="preserve"> for a given carrier</w:t>
      </w:r>
      <w:r w:rsidR="00D127A5" w:rsidRPr="00D127A5">
        <w:rPr>
          <w:rFonts w:eastAsiaTheme="minorEastAsia"/>
          <w:i/>
          <w:sz w:val="20"/>
        </w:rPr>
        <w:t>.</w:t>
      </w:r>
    </w:p>
    <w:p w14:paraId="25709D57" w14:textId="74A2F65B" w:rsidR="00112035" w:rsidRPr="00D127A5" w:rsidRDefault="008830F5" w:rsidP="00D127A5">
      <w:pPr>
        <w:pStyle w:val="ListParagraph"/>
        <w:numPr>
          <w:ilvl w:val="1"/>
          <w:numId w:val="39"/>
        </w:numPr>
        <w:jc w:val="both"/>
        <w:rPr>
          <w:i/>
          <w:sz w:val="20"/>
        </w:rPr>
      </w:pPr>
      <w:r w:rsidRPr="00D127A5">
        <w:rPr>
          <w:rFonts w:eastAsiaTheme="minorEastAsia"/>
          <w:i/>
          <w:sz w:val="20"/>
        </w:rPr>
        <w:t>If valid DL assignments are detected based on C-RNTI/SPS C-RNTI in PDCCH/EPDCCH for PDSCH and PDCCH/</w:t>
      </w:r>
      <w:proofErr w:type="spellStart"/>
      <w:r w:rsidRPr="00D127A5">
        <w:rPr>
          <w:rFonts w:eastAsiaTheme="minorEastAsia"/>
          <w:i/>
          <w:sz w:val="20"/>
        </w:rPr>
        <w:t>sPDCCH</w:t>
      </w:r>
      <w:proofErr w:type="spellEnd"/>
      <w:r w:rsidRPr="00D127A5">
        <w:rPr>
          <w:rFonts w:eastAsiaTheme="minorEastAsia"/>
          <w:i/>
          <w:sz w:val="20"/>
        </w:rPr>
        <w:t xml:space="preserve"> for </w:t>
      </w:r>
      <w:proofErr w:type="spellStart"/>
      <w:r w:rsidRPr="00D127A5">
        <w:rPr>
          <w:rFonts w:eastAsiaTheme="minorEastAsia"/>
          <w:i/>
          <w:sz w:val="20"/>
        </w:rPr>
        <w:t>sPDSCH</w:t>
      </w:r>
      <w:proofErr w:type="spellEnd"/>
      <w:r w:rsidRPr="00D127A5">
        <w:rPr>
          <w:rFonts w:eastAsiaTheme="minorEastAsia"/>
          <w:i/>
          <w:sz w:val="20"/>
        </w:rPr>
        <w:t xml:space="preserve"> in the same </w:t>
      </w:r>
      <w:proofErr w:type="spellStart"/>
      <w:r w:rsidRPr="00D127A5">
        <w:rPr>
          <w:rFonts w:eastAsiaTheme="minorEastAsia"/>
          <w:i/>
          <w:sz w:val="20"/>
        </w:rPr>
        <w:t>subframe</w:t>
      </w:r>
      <w:proofErr w:type="spellEnd"/>
      <w:r w:rsidRPr="00D127A5">
        <w:rPr>
          <w:rFonts w:eastAsiaTheme="minorEastAsia"/>
          <w:i/>
          <w:sz w:val="20"/>
        </w:rPr>
        <w:t xml:space="preserve"> for a given carrier, the UE should decode the PDSCH in addition to </w:t>
      </w:r>
      <w:proofErr w:type="spellStart"/>
      <w:r w:rsidRPr="00D127A5">
        <w:rPr>
          <w:rFonts w:eastAsiaTheme="minorEastAsia"/>
          <w:i/>
          <w:sz w:val="20"/>
        </w:rPr>
        <w:t>sPDSCH</w:t>
      </w:r>
      <w:proofErr w:type="spellEnd"/>
      <w:r w:rsidR="00D127A5" w:rsidRPr="00D127A5">
        <w:rPr>
          <w:rFonts w:eastAsiaTheme="minorEastAsia"/>
          <w:i/>
          <w:sz w:val="20"/>
        </w:rPr>
        <w:t>.</w:t>
      </w:r>
    </w:p>
    <w:p w14:paraId="6C50D1FE" w14:textId="2AD1EB15" w:rsidR="00112035" w:rsidRPr="00D127A5" w:rsidRDefault="008830F5" w:rsidP="00D127A5">
      <w:pPr>
        <w:pStyle w:val="ListParagraph"/>
        <w:numPr>
          <w:ilvl w:val="2"/>
          <w:numId w:val="39"/>
        </w:numPr>
        <w:jc w:val="both"/>
        <w:rPr>
          <w:i/>
          <w:sz w:val="20"/>
        </w:rPr>
      </w:pPr>
      <w:r w:rsidRPr="00D127A5">
        <w:rPr>
          <w:rFonts w:eastAsiaTheme="minorEastAsia"/>
          <w:i/>
          <w:sz w:val="20"/>
        </w:rPr>
        <w:t xml:space="preserve">UE shall provide HARQ-ACK feedback for both PDSCH and </w:t>
      </w:r>
      <w:proofErr w:type="spellStart"/>
      <w:r w:rsidRPr="00D127A5">
        <w:rPr>
          <w:rFonts w:eastAsiaTheme="minorEastAsia"/>
          <w:i/>
          <w:sz w:val="20"/>
        </w:rPr>
        <w:t>sPDSCH</w:t>
      </w:r>
      <w:proofErr w:type="spellEnd"/>
      <w:r w:rsidR="00D127A5" w:rsidRPr="00D127A5">
        <w:rPr>
          <w:rFonts w:eastAsiaTheme="minorEastAsia"/>
          <w:i/>
          <w:sz w:val="20"/>
        </w:rPr>
        <w:t>.</w:t>
      </w:r>
    </w:p>
    <w:p w14:paraId="7394F0BC" w14:textId="52345F5E" w:rsidR="00112035" w:rsidRPr="00D127A5" w:rsidRDefault="008830F5" w:rsidP="00D127A5">
      <w:pPr>
        <w:pStyle w:val="ListParagraph"/>
        <w:numPr>
          <w:ilvl w:val="2"/>
          <w:numId w:val="39"/>
        </w:numPr>
        <w:jc w:val="both"/>
        <w:rPr>
          <w:i/>
          <w:sz w:val="20"/>
        </w:rPr>
      </w:pPr>
      <w:r w:rsidRPr="00D127A5">
        <w:rPr>
          <w:rFonts w:eastAsiaTheme="minorEastAsia"/>
          <w:i/>
          <w:sz w:val="20"/>
        </w:rPr>
        <w:t xml:space="preserve">No special consideration is specified for overlapping of </w:t>
      </w:r>
      <w:proofErr w:type="spellStart"/>
      <w:r w:rsidRPr="00D127A5">
        <w:rPr>
          <w:rFonts w:eastAsiaTheme="minorEastAsia"/>
          <w:i/>
          <w:sz w:val="20"/>
        </w:rPr>
        <w:t>sPDSCH</w:t>
      </w:r>
      <w:proofErr w:type="spellEnd"/>
      <w:r w:rsidRPr="00D127A5">
        <w:rPr>
          <w:rFonts w:eastAsiaTheme="minorEastAsia"/>
          <w:i/>
          <w:sz w:val="20"/>
        </w:rPr>
        <w:t xml:space="preserve"> and PDSCH</w:t>
      </w:r>
      <w:r w:rsidR="00D127A5" w:rsidRPr="00D127A5">
        <w:rPr>
          <w:rFonts w:eastAsiaTheme="minorEastAsia"/>
          <w:i/>
          <w:sz w:val="20"/>
        </w:rPr>
        <w:t>.</w:t>
      </w:r>
    </w:p>
    <w:p w14:paraId="33E4590E" w14:textId="77777777" w:rsidR="00112035" w:rsidRPr="00D127A5" w:rsidRDefault="008830F5" w:rsidP="00D127A5">
      <w:pPr>
        <w:pStyle w:val="ListParagraph"/>
        <w:numPr>
          <w:ilvl w:val="1"/>
          <w:numId w:val="39"/>
        </w:numPr>
        <w:jc w:val="both"/>
        <w:rPr>
          <w:i/>
          <w:sz w:val="20"/>
        </w:rPr>
      </w:pPr>
      <w:r w:rsidRPr="00D127A5">
        <w:rPr>
          <w:rFonts w:eastAsiaTheme="minorEastAsia"/>
          <w:i/>
          <w:sz w:val="20"/>
        </w:rPr>
        <w:t>Otherwise</w:t>
      </w:r>
    </w:p>
    <w:p w14:paraId="5A393232" w14:textId="7F7C9660" w:rsidR="00112035" w:rsidRPr="00D127A5" w:rsidRDefault="008830F5" w:rsidP="00D127A5">
      <w:pPr>
        <w:pStyle w:val="ListParagraph"/>
        <w:numPr>
          <w:ilvl w:val="0"/>
          <w:numId w:val="39"/>
        </w:numPr>
        <w:ind w:left="936"/>
        <w:jc w:val="both"/>
        <w:rPr>
          <w:i/>
          <w:sz w:val="20"/>
        </w:rPr>
      </w:pPr>
      <w:r w:rsidRPr="00D127A5">
        <w:rPr>
          <w:rFonts w:eastAsiaTheme="minorEastAsia"/>
          <w:i/>
          <w:sz w:val="20"/>
        </w:rPr>
        <w:t>If valid DL assignments are detected based on C-RNTI/SPS C-RNTI in PDCCH/EPDCCH for PDSCH and PDCCH/</w:t>
      </w:r>
      <w:proofErr w:type="spellStart"/>
      <w:r w:rsidRPr="00D127A5">
        <w:rPr>
          <w:rFonts w:eastAsiaTheme="minorEastAsia"/>
          <w:i/>
          <w:sz w:val="20"/>
        </w:rPr>
        <w:t>sPDCCH</w:t>
      </w:r>
      <w:proofErr w:type="spellEnd"/>
      <w:r w:rsidRPr="00D127A5">
        <w:rPr>
          <w:rFonts w:eastAsiaTheme="minorEastAsia"/>
          <w:i/>
          <w:sz w:val="20"/>
        </w:rPr>
        <w:t xml:space="preserve"> for </w:t>
      </w:r>
      <w:proofErr w:type="spellStart"/>
      <w:r w:rsidRPr="00D127A5">
        <w:rPr>
          <w:rFonts w:eastAsiaTheme="minorEastAsia"/>
          <w:i/>
          <w:sz w:val="20"/>
        </w:rPr>
        <w:t>sPDSCH</w:t>
      </w:r>
      <w:proofErr w:type="spellEnd"/>
      <w:r w:rsidRPr="00D127A5">
        <w:rPr>
          <w:rFonts w:eastAsiaTheme="minorEastAsia"/>
          <w:i/>
          <w:sz w:val="20"/>
        </w:rPr>
        <w:t xml:space="preserve"> in the same </w:t>
      </w:r>
      <w:proofErr w:type="spellStart"/>
      <w:r w:rsidRPr="00D127A5">
        <w:rPr>
          <w:rFonts w:eastAsiaTheme="minorEastAsia"/>
          <w:i/>
          <w:sz w:val="20"/>
        </w:rPr>
        <w:t>subframe</w:t>
      </w:r>
      <w:proofErr w:type="spellEnd"/>
      <w:r w:rsidRPr="00D127A5">
        <w:rPr>
          <w:rFonts w:eastAsiaTheme="minorEastAsia"/>
          <w:i/>
          <w:sz w:val="20"/>
        </w:rPr>
        <w:t xml:space="preserve"> for a given carrier, the UE should decode the </w:t>
      </w:r>
      <w:proofErr w:type="spellStart"/>
      <w:r w:rsidRPr="00D127A5">
        <w:rPr>
          <w:rFonts w:eastAsiaTheme="minorEastAsia"/>
          <w:i/>
          <w:sz w:val="20"/>
        </w:rPr>
        <w:t>sPDSCH</w:t>
      </w:r>
      <w:proofErr w:type="spellEnd"/>
      <w:r w:rsidRPr="00D127A5">
        <w:rPr>
          <w:rFonts w:eastAsiaTheme="minorEastAsia"/>
          <w:i/>
          <w:sz w:val="20"/>
        </w:rPr>
        <w:t xml:space="preserve"> and is not required to decode PDSCH</w:t>
      </w:r>
      <w:r w:rsidR="00D127A5" w:rsidRPr="00D127A5">
        <w:rPr>
          <w:rFonts w:eastAsiaTheme="minorEastAsia"/>
          <w:i/>
          <w:sz w:val="20"/>
        </w:rPr>
        <w:t>.</w:t>
      </w:r>
    </w:p>
    <w:p w14:paraId="5F478646" w14:textId="69A1CF18" w:rsidR="00112035" w:rsidRPr="00D127A5" w:rsidRDefault="008830F5" w:rsidP="00D127A5">
      <w:pPr>
        <w:pStyle w:val="ListParagraph"/>
        <w:numPr>
          <w:ilvl w:val="1"/>
          <w:numId w:val="39"/>
        </w:numPr>
        <w:jc w:val="both"/>
        <w:rPr>
          <w:i/>
          <w:sz w:val="20"/>
        </w:rPr>
      </w:pPr>
      <w:r w:rsidRPr="00D127A5">
        <w:rPr>
          <w:rFonts w:eastAsiaTheme="minorEastAsia"/>
          <w:i/>
          <w:sz w:val="20"/>
        </w:rPr>
        <w:t xml:space="preserve">UE shall provide HARQ-ACK feedback for both PDSCH and </w:t>
      </w:r>
      <w:proofErr w:type="spellStart"/>
      <w:r w:rsidRPr="00D127A5">
        <w:rPr>
          <w:rFonts w:eastAsiaTheme="minorEastAsia"/>
          <w:i/>
          <w:sz w:val="20"/>
        </w:rPr>
        <w:t>sPDSCH</w:t>
      </w:r>
      <w:proofErr w:type="spellEnd"/>
      <w:r w:rsidR="00D127A5" w:rsidRPr="00D127A5">
        <w:rPr>
          <w:rFonts w:eastAsiaTheme="minorEastAsia"/>
          <w:i/>
          <w:sz w:val="20"/>
        </w:rPr>
        <w:t>.</w:t>
      </w:r>
    </w:p>
    <w:p w14:paraId="4C892488" w14:textId="77777777" w:rsidR="00D127A5" w:rsidRPr="00D127A5" w:rsidRDefault="00D127A5" w:rsidP="00D127A5">
      <w:pPr>
        <w:ind w:left="216"/>
        <w:jc w:val="both"/>
      </w:pPr>
    </w:p>
    <w:p w14:paraId="0B6C83FD" w14:textId="2CD87774" w:rsidR="00D127A5" w:rsidRDefault="00D127A5" w:rsidP="00D127A5">
      <w:pPr>
        <w:jc w:val="both"/>
      </w:pPr>
      <w:r>
        <w:t xml:space="preserve">In this contribution paper, we present the following topics related to the design of </w:t>
      </w:r>
      <w:proofErr w:type="spellStart"/>
      <w:r>
        <w:t>sPDSCH</w:t>
      </w:r>
      <w:proofErr w:type="spellEnd"/>
      <w:r>
        <w:t xml:space="preserve"> in low latency LTE systems:</w:t>
      </w:r>
    </w:p>
    <w:p w14:paraId="01CD767C" w14:textId="5DA9E393" w:rsidR="00932C4B" w:rsidRPr="00932C4B" w:rsidRDefault="00D127A5" w:rsidP="00932C4B">
      <w:pPr>
        <w:pStyle w:val="ListParagraph"/>
        <w:numPr>
          <w:ilvl w:val="0"/>
          <w:numId w:val="43"/>
        </w:numPr>
        <w:jc w:val="both"/>
        <w:rPr>
          <w:sz w:val="20"/>
        </w:rPr>
      </w:pPr>
      <w:r w:rsidRPr="00932C4B">
        <w:rPr>
          <w:sz w:val="20"/>
        </w:rPr>
        <w:t>The implication of the agreement made in RAN1 #87 presented above, and possible modifications.</w:t>
      </w:r>
    </w:p>
    <w:p w14:paraId="02D827F5" w14:textId="299284D7" w:rsidR="00D127A5" w:rsidRPr="00932C4B" w:rsidRDefault="00D127A5" w:rsidP="00D127A5">
      <w:pPr>
        <w:pStyle w:val="ListParagraph"/>
        <w:numPr>
          <w:ilvl w:val="0"/>
          <w:numId w:val="43"/>
        </w:numPr>
        <w:jc w:val="both"/>
        <w:rPr>
          <w:sz w:val="20"/>
        </w:rPr>
      </w:pPr>
      <w:proofErr w:type="spellStart"/>
      <w:r w:rsidRPr="00932C4B">
        <w:rPr>
          <w:sz w:val="20"/>
        </w:rPr>
        <w:t>sPDSCH</w:t>
      </w:r>
      <w:proofErr w:type="spellEnd"/>
      <w:r w:rsidRPr="00932C4B">
        <w:rPr>
          <w:sz w:val="20"/>
        </w:rPr>
        <w:t xml:space="preserve"> resource allocation</w:t>
      </w:r>
    </w:p>
    <w:p w14:paraId="3A3F4DA5" w14:textId="73E4E57E" w:rsidR="00D127A5" w:rsidRPr="00932C4B" w:rsidRDefault="00D127A5" w:rsidP="00D127A5">
      <w:pPr>
        <w:pStyle w:val="ListParagraph"/>
        <w:numPr>
          <w:ilvl w:val="0"/>
          <w:numId w:val="43"/>
        </w:numPr>
        <w:jc w:val="both"/>
        <w:rPr>
          <w:sz w:val="20"/>
        </w:rPr>
      </w:pPr>
      <w:r w:rsidRPr="00932C4B">
        <w:rPr>
          <w:sz w:val="20"/>
        </w:rPr>
        <w:t>TBS scaling</w:t>
      </w:r>
    </w:p>
    <w:p w14:paraId="2D2B6B7F" w14:textId="0F93D47C" w:rsidR="00D127A5" w:rsidRPr="00932C4B" w:rsidRDefault="00932C4B" w:rsidP="00F30894">
      <w:pPr>
        <w:pStyle w:val="ListParagraph"/>
        <w:numPr>
          <w:ilvl w:val="0"/>
          <w:numId w:val="43"/>
        </w:numPr>
        <w:jc w:val="both"/>
        <w:rPr>
          <w:sz w:val="20"/>
        </w:rPr>
      </w:pPr>
      <w:r w:rsidRPr="00932C4B">
        <w:rPr>
          <w:sz w:val="20"/>
        </w:rPr>
        <w:t>Number of CWs and Layers.</w:t>
      </w:r>
    </w:p>
    <w:p w14:paraId="488AD007" w14:textId="77777777" w:rsidR="00491EEE" w:rsidRDefault="00491EEE" w:rsidP="00F30894">
      <w:pPr>
        <w:pStyle w:val="Heading1"/>
        <w:jc w:val="both"/>
      </w:pPr>
      <w:r w:rsidRPr="00CC27F5">
        <w:t>2</w:t>
      </w:r>
      <w:r w:rsidRPr="00CC27F5">
        <w:tab/>
      </w:r>
      <w:r w:rsidR="002E53CF">
        <w:t>Discussion</w:t>
      </w:r>
    </w:p>
    <w:p w14:paraId="6F32F37D" w14:textId="7CD1023C" w:rsidR="00932C4B" w:rsidRDefault="00932C4B" w:rsidP="00932C4B">
      <w:pPr>
        <w:pStyle w:val="Heading3"/>
        <w:keepNext/>
        <w:keepLines/>
        <w:numPr>
          <w:ilvl w:val="1"/>
          <w:numId w:val="44"/>
        </w:numPr>
        <w:jc w:val="both"/>
      </w:pPr>
      <w:r>
        <w:t xml:space="preserve">   Simultaneous Processing of </w:t>
      </w:r>
      <w:r w:rsidR="00755A2F">
        <w:t xml:space="preserve">Unicast PDSCH and </w:t>
      </w:r>
      <w:proofErr w:type="spellStart"/>
      <w:r w:rsidR="00755A2F">
        <w:t>sPDSCH</w:t>
      </w:r>
      <w:proofErr w:type="spellEnd"/>
    </w:p>
    <w:p w14:paraId="5CC0430A" w14:textId="3EF3C27A" w:rsidR="00932C4B" w:rsidRDefault="00932C4B" w:rsidP="006034B0">
      <w:pPr>
        <w:jc w:val="both"/>
        <w:rPr>
          <w:lang w:val="en-GB"/>
        </w:rPr>
      </w:pPr>
      <w:r>
        <w:rPr>
          <w:lang w:val="en-GB"/>
        </w:rPr>
        <w:t xml:space="preserve">As mentioned in Section 1, in RAN1 #87, it was decided to define the UE behaviour in terms of decoding </w:t>
      </w:r>
      <w:r w:rsidR="006034B0">
        <w:rPr>
          <w:lang w:val="en-GB"/>
        </w:rPr>
        <w:t xml:space="preserve">the </w:t>
      </w:r>
      <w:r>
        <w:rPr>
          <w:lang w:val="en-GB"/>
        </w:rPr>
        <w:t xml:space="preserve">1ms and </w:t>
      </w:r>
      <w:proofErr w:type="spellStart"/>
      <w:r>
        <w:rPr>
          <w:lang w:val="en-GB"/>
        </w:rPr>
        <w:t>sTTI</w:t>
      </w:r>
      <w:proofErr w:type="spellEnd"/>
      <w:r>
        <w:rPr>
          <w:lang w:val="en-GB"/>
        </w:rPr>
        <w:t xml:space="preserve"> traffics based</w:t>
      </w:r>
      <w:r w:rsidR="006034B0">
        <w:rPr>
          <w:lang w:val="en-GB"/>
        </w:rPr>
        <w:t xml:space="preserve"> on the</w:t>
      </w:r>
      <w:r w:rsidR="00BF4C34">
        <w:rPr>
          <w:lang w:val="en-GB"/>
        </w:rPr>
        <w:t xml:space="preserve"> UE</w:t>
      </w:r>
      <w:r>
        <w:rPr>
          <w:lang w:val="en-GB"/>
        </w:rPr>
        <w:t xml:space="preserve"> capability. In particular, when scheduled over a given carrier and </w:t>
      </w:r>
      <w:proofErr w:type="spellStart"/>
      <w:r>
        <w:rPr>
          <w:lang w:val="en-GB"/>
        </w:rPr>
        <w:t>subframe</w:t>
      </w:r>
      <w:proofErr w:type="spellEnd"/>
      <w:r>
        <w:rPr>
          <w:lang w:val="en-GB"/>
        </w:rPr>
        <w:t xml:space="preserve">, if a UE is capable, then it must decode both </w:t>
      </w:r>
      <w:r w:rsidR="006034B0">
        <w:rPr>
          <w:lang w:val="en-GB"/>
        </w:rPr>
        <w:t xml:space="preserve">unicast </w:t>
      </w:r>
      <w:r>
        <w:rPr>
          <w:lang w:val="en-GB"/>
        </w:rPr>
        <w:t xml:space="preserve">PSDCH and </w:t>
      </w:r>
      <w:proofErr w:type="spellStart"/>
      <w:r>
        <w:rPr>
          <w:lang w:val="en-GB"/>
        </w:rPr>
        <w:t>sPSDCH</w:t>
      </w:r>
      <w:proofErr w:type="spellEnd"/>
      <w:r>
        <w:rPr>
          <w:lang w:val="en-GB"/>
        </w:rPr>
        <w:t xml:space="preserve">. Otherwise, the UE is not required to decode </w:t>
      </w:r>
      <w:r w:rsidR="006034B0">
        <w:rPr>
          <w:lang w:val="en-GB"/>
        </w:rPr>
        <w:t xml:space="preserve">the unicast </w:t>
      </w:r>
      <w:r>
        <w:rPr>
          <w:lang w:val="en-GB"/>
        </w:rPr>
        <w:t xml:space="preserve">PDSCH. </w:t>
      </w:r>
    </w:p>
    <w:p w14:paraId="6F4A8585" w14:textId="7B569934" w:rsidR="00755A2F" w:rsidRDefault="00932C4B" w:rsidP="006034B0">
      <w:pPr>
        <w:jc w:val="both"/>
        <w:rPr>
          <w:lang w:val="en-GB"/>
        </w:rPr>
      </w:pPr>
      <w:r>
        <w:rPr>
          <w:lang w:val="en-GB"/>
        </w:rPr>
        <w:t xml:space="preserve">From the UE implementation point of view, </w:t>
      </w:r>
      <w:r w:rsidR="005E0EB9">
        <w:rPr>
          <w:lang w:val="en-GB"/>
        </w:rPr>
        <w:t xml:space="preserve">the processing of a </w:t>
      </w:r>
      <w:r w:rsidR="006034B0">
        <w:rPr>
          <w:lang w:val="en-GB"/>
        </w:rPr>
        <w:t xml:space="preserve">unicast </w:t>
      </w:r>
      <w:r w:rsidR="005E0EB9">
        <w:rPr>
          <w:lang w:val="en-GB"/>
        </w:rPr>
        <w:t xml:space="preserve">PDSCH received in </w:t>
      </w:r>
      <w:proofErr w:type="spellStart"/>
      <w:r w:rsidR="005E0EB9">
        <w:rPr>
          <w:lang w:val="en-GB"/>
        </w:rPr>
        <w:t>subframe</w:t>
      </w:r>
      <w:proofErr w:type="spellEnd"/>
      <w:r w:rsidR="005E0EB9">
        <w:rPr>
          <w:lang w:val="en-GB"/>
        </w:rPr>
        <w:t xml:space="preserve"> </w:t>
      </w:r>
      <m:oMath>
        <m:r>
          <w:rPr>
            <w:rFonts w:ascii="Cambria Math" w:hAnsi="Cambria Math"/>
            <w:lang w:val="en-GB"/>
          </w:rPr>
          <m:t>n</m:t>
        </m:r>
      </m:oMath>
      <w:r w:rsidR="00755A2F">
        <w:rPr>
          <w:lang w:val="en-GB"/>
        </w:rPr>
        <w:t xml:space="preserve"> is completed during the next few subframes. </w:t>
      </w:r>
      <w:r w:rsidR="006034B0">
        <w:rPr>
          <w:lang w:val="en-GB"/>
        </w:rPr>
        <w:t>For this reason</w:t>
      </w:r>
      <w:r w:rsidR="00755A2F">
        <w:rPr>
          <w:lang w:val="en-GB"/>
        </w:rPr>
        <w:t xml:space="preserve">, the received </w:t>
      </w:r>
      <w:proofErr w:type="spellStart"/>
      <w:r w:rsidR="00755A2F">
        <w:rPr>
          <w:lang w:val="en-GB"/>
        </w:rPr>
        <w:t>subframes</w:t>
      </w:r>
      <w:proofErr w:type="spellEnd"/>
      <w:r w:rsidR="00755A2F">
        <w:rPr>
          <w:lang w:val="en-GB"/>
        </w:rPr>
        <w:t xml:space="preserve"> should be properly pipelined and processed so that each received PDSCH can meet its HARQ timeline. Further, it is guaranteed that at each given time, the rate of the data being processed at the UE</w:t>
      </w:r>
      <w:r w:rsidR="00B55105">
        <w:rPr>
          <w:lang w:val="en-GB"/>
        </w:rPr>
        <w:t xml:space="preserve"> </w:t>
      </w:r>
      <w:r w:rsidR="000A24BD">
        <w:rPr>
          <w:lang w:val="en-GB"/>
        </w:rPr>
        <w:t>and</w:t>
      </w:r>
      <w:r w:rsidR="00B55105">
        <w:rPr>
          <w:lang w:val="en-GB"/>
        </w:rPr>
        <w:t>/or</w:t>
      </w:r>
      <w:r w:rsidR="000A24BD">
        <w:rPr>
          <w:lang w:val="en-GB"/>
        </w:rPr>
        <w:t xml:space="preserve"> the number of RBs that can be handled at a UE</w:t>
      </w:r>
      <w:r w:rsidR="00755A2F">
        <w:rPr>
          <w:lang w:val="en-GB"/>
        </w:rPr>
        <w:t xml:space="preserve"> </w:t>
      </w:r>
      <w:r w:rsidR="000A24BD">
        <w:rPr>
          <w:lang w:val="en-GB"/>
        </w:rPr>
        <w:t>are</w:t>
      </w:r>
      <w:r w:rsidR="00755A2F">
        <w:rPr>
          <w:lang w:val="en-GB"/>
        </w:rPr>
        <w:t xml:space="preserve"> within </w:t>
      </w:r>
      <w:r w:rsidR="000A24BD">
        <w:rPr>
          <w:lang w:val="en-GB"/>
        </w:rPr>
        <w:t>the UE’s</w:t>
      </w:r>
      <w:r w:rsidR="00755A2F">
        <w:rPr>
          <w:lang w:val="en-GB"/>
        </w:rPr>
        <w:t xml:space="preserve"> defined limits. </w:t>
      </w:r>
      <w:r w:rsidR="00755A2F">
        <w:rPr>
          <w:lang w:val="en-GB"/>
        </w:rPr>
        <w:lastRenderedPageBreak/>
        <w:t>Hence, each PDSCH can be sent with the maximum allowable MCS and RB allocation for a given user.</w:t>
      </w:r>
      <w:r w:rsidR="000A24BD">
        <w:rPr>
          <w:lang w:val="en-GB"/>
        </w:rPr>
        <w:t xml:space="preserve"> </w:t>
      </w:r>
      <w:r w:rsidR="00F114EF">
        <w:rPr>
          <w:lang w:val="en-GB"/>
        </w:rPr>
        <w:t xml:space="preserve">An illustrative example </w:t>
      </w:r>
      <w:r w:rsidR="000A24BD">
        <w:rPr>
          <w:lang w:val="en-GB"/>
        </w:rPr>
        <w:t xml:space="preserve">is shown in the figure below for 1ms PDSCH with </w:t>
      </w:r>
      <m:oMath>
        <m:r>
          <w:rPr>
            <w:rFonts w:ascii="Cambria Math" w:hAnsi="Cambria Math"/>
            <w:lang w:val="en-GB"/>
          </w:rPr>
          <m:t>n+4</m:t>
        </m:r>
      </m:oMath>
      <w:r w:rsidR="000A24BD">
        <w:rPr>
          <w:lang w:val="en-GB"/>
        </w:rPr>
        <w:t xml:space="preserve"> HARQ processing timing.</w:t>
      </w:r>
      <w:r w:rsidR="00F114EF">
        <w:rPr>
          <w:lang w:val="en-GB"/>
        </w:rPr>
        <w:t xml:space="preserve"> </w:t>
      </w:r>
    </w:p>
    <w:p w14:paraId="1B71A8CA" w14:textId="2F89CC81" w:rsidR="000A24BD" w:rsidRDefault="00434837" w:rsidP="006034B0">
      <w:pPr>
        <w:jc w:val="both"/>
        <w:rPr>
          <w:lang w:val="en-GB"/>
        </w:rPr>
      </w:pPr>
      <w:r>
        <w:rPr>
          <w:noProof/>
        </w:rPr>
        <mc:AlternateContent>
          <mc:Choice Requires="wps">
            <w:drawing>
              <wp:anchor distT="0" distB="0" distL="114300" distR="114300" simplePos="0" relativeHeight="251659776" behindDoc="0" locked="0" layoutInCell="1" allowOverlap="1" wp14:anchorId="537FB329" wp14:editId="5D520649">
                <wp:simplePos x="0" y="0"/>
                <wp:positionH relativeFrom="column">
                  <wp:posOffset>4874895</wp:posOffset>
                </wp:positionH>
                <wp:positionV relativeFrom="paragraph">
                  <wp:posOffset>7620</wp:posOffset>
                </wp:positionV>
                <wp:extent cx="1" cy="1868837"/>
                <wp:effectExtent l="0" t="0" r="19050" b="17145"/>
                <wp:wrapNone/>
                <wp:docPr id="15" name="Straight Connector 15"/>
                <wp:cNvGraphicFramePr/>
                <a:graphic xmlns:a="http://schemas.openxmlformats.org/drawingml/2006/main">
                  <a:graphicData uri="http://schemas.microsoft.com/office/word/2010/wordprocessingShape">
                    <wps:wsp>
                      <wps:cNvCnPr/>
                      <wps:spPr>
                        <a:xfrm flipH="1">
                          <a:off x="0" y="0"/>
                          <a:ext cx="1" cy="1868837"/>
                        </a:xfrm>
                        <a:prstGeom prst="line">
                          <a:avLst/>
                        </a:prstGeom>
                        <a:ln w="6350">
                          <a:gradFill flip="none" rotWithShape="1">
                            <a:gsLst>
                              <a:gs pos="0">
                                <a:srgbClr val="143C66"/>
                              </a:gs>
                              <a:gs pos="100000">
                                <a:srgbClr val="008080"/>
                              </a:gs>
                            </a:gsLst>
                            <a:lin ang="0" scaled="1"/>
                            <a:tileRect/>
                          </a:gra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B6ED97" id="Straight Connector 15"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383.85pt,.6pt" to="383.85pt,1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OoDOgIAAM8EAAAOAAAAZHJzL2Uyb0RvYy54bWysVE2P0zAQvSPxHyzfaZItW6qo6R5aLRwQ&#10;VLsgzq5jJ5b8Jds07b9nPElDF8QBRCtZ/pj3Zt6zJ5uHs9HkJEJUzja0WpSUCMtdq2zX0K9fHt+s&#10;KYmJ2ZZpZ0VDLyLSh+3rV5vB1+LO9U63IhAgsbEefEP7lHxdFJH3wrC4cF5YOJQuGJZgGbqiDWwA&#10;dqOLu7JcFYMLrQ+Oixhhdz8e0i3ySyl4+ixlFInohkJtCceA4zGPxXbD6i4w3ys+lcH+oQrDlIWk&#10;M9WeJUa+B/UblVE8uOhkWnBnCiel4gI1gJqq/EXNc8+8QC1gTvSzTfH/0fJPp0MgqoW7u6fEMgN3&#10;9JwCU12fyM5ZCw66QOAQnBp8rAGws4cwraI/hCz7LIMhUiv/AYjQCJBGzujzZfZZnBPhsFlRwmG3&#10;Wq/W6+W7zFyMFJnKh5jeC2dInjRUK5stYDU7fYxpDL2G5G1tydDQ1fK+xCi4yvZRaY3FNNTCo6Mk&#10;uPRNpR7tvNbXRaDLBF0k3oGjIz6G7rjTgZwYPJjq7XK3Wk31dfE2uirzD1O+gJTlGv43EFA2pwIt&#10;hOXGgJcYOdMi255jWZ2UFk/g9SjwqiKfZLF7FvuxpBZmE7u24Fu+kvEScJYuWmSQtk9CwrWi2XkD&#10;G0rMyhjnwibMDQVidI6S4NwMnNTlTvwTcIrPUIHN9jfgGYGZnU0z2Cjrwujty+zpfC1ZjvFXB0bd&#10;2YKjay/4PNEa6Bp8XFOH57a8XSP853do+wMAAP//AwBQSwMEFAAGAAgAAAAhAFiTeSndAAAACQEA&#10;AA8AAABkcnMvZG93bnJldi54bWxMj0FLw0AQhe+C/2EZwZvdNNCmxmxKabGInmwFe9xmxyS4Oxuy&#10;2yT+e0c86PHxPd58U6wnZ8WAfWg9KZjPEhBIlTct1Qrejo93KxAhajLaekIFXxhgXV5fFTo3fqRX&#10;HA6xFjxCIdcKmhi7XMpQNeh0mPkOidmH752OHPtaml6PPO6sTJNkKZ1uiS80usNtg9Xn4eIUjM+p&#10;20+nUxLc+8tuM8T5U7a3St3eTJsHEBGn+FeGH31Wh5Kdzv5CJgirIFtmGVcZpCCY/+azgvR+sQBZ&#10;FvL/B+U3AAAA//8DAFBLAQItABQABgAIAAAAIQC2gziS/gAAAOEBAAATAAAAAAAAAAAAAAAAAAAA&#10;AABbQ29udGVudF9UeXBlc10ueG1sUEsBAi0AFAAGAAgAAAAhADj9If/WAAAAlAEAAAsAAAAAAAAA&#10;AAAAAAAALwEAAF9yZWxzLy5yZWxzUEsBAi0AFAAGAAgAAAAhABOU6gM6AgAAzwQAAA4AAAAAAAAA&#10;AAAAAAAALgIAAGRycy9lMm9Eb2MueG1sUEsBAi0AFAAGAAgAAAAhAFiTeSndAAAACQEAAA8AAAAA&#10;AAAAAAAAAAAAlAQAAGRycy9kb3ducmV2LnhtbFBLBQYAAAAABAAEAPMAAACeBQAAAAA=&#10;" strokeweight=".5pt">
                <v:stroke dashstyle="dash" joinstyle="miter"/>
              </v:line>
            </w:pict>
          </mc:Fallback>
        </mc:AlternateContent>
      </w:r>
      <w:r w:rsidR="000A24BD">
        <w:rPr>
          <w:noProof/>
        </w:rPr>
        <mc:AlternateContent>
          <mc:Choice Requires="wps">
            <w:drawing>
              <wp:anchor distT="0" distB="0" distL="114300" distR="114300" simplePos="0" relativeHeight="251652608" behindDoc="0" locked="0" layoutInCell="1" allowOverlap="1" wp14:anchorId="775830A7" wp14:editId="634570A3">
                <wp:simplePos x="0" y="0"/>
                <wp:positionH relativeFrom="column">
                  <wp:posOffset>1045262</wp:posOffset>
                </wp:positionH>
                <wp:positionV relativeFrom="paragraph">
                  <wp:posOffset>83066</wp:posOffset>
                </wp:positionV>
                <wp:extent cx="876300" cy="287020"/>
                <wp:effectExtent l="0" t="0" r="0" b="0"/>
                <wp:wrapNone/>
                <wp:docPr id="5" name="TextBox 8"/>
                <wp:cNvGraphicFramePr/>
                <a:graphic xmlns:a="http://schemas.openxmlformats.org/drawingml/2006/main">
                  <a:graphicData uri="http://schemas.microsoft.com/office/word/2010/wordprocessingShape">
                    <wps:wsp>
                      <wps:cNvSpPr txBox="1"/>
                      <wps:spPr>
                        <a:xfrm>
                          <a:off x="0" y="0"/>
                          <a:ext cx="876300" cy="287020"/>
                        </a:xfrm>
                        <a:prstGeom prst="rect">
                          <a:avLst/>
                        </a:prstGeom>
                        <a:noFill/>
                      </wps:spPr>
                      <wps:txbx>
                        <w:txbxContent>
                          <w:p w14:paraId="2813A9CD" w14:textId="77777777" w:rsidR="000A24BD" w:rsidRDefault="000A24BD" w:rsidP="000A24BD">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PDSCH</w:t>
                            </w:r>
                          </w:p>
                        </w:txbxContent>
                      </wps:txbx>
                      <wps:bodyPr wrap="square" rtlCol="0">
                        <a:spAutoFit/>
                      </wps:bodyPr>
                    </wps:wsp>
                  </a:graphicData>
                </a:graphic>
              </wp:anchor>
            </w:drawing>
          </mc:Choice>
          <mc:Fallback>
            <w:pict>
              <v:shapetype w14:anchorId="775830A7" id="_x0000_t202" coordsize="21600,21600" o:spt="202" path="m,l,21600r21600,l21600,xe">
                <v:stroke joinstyle="miter"/>
                <v:path gradientshapeok="t" o:connecttype="rect"/>
              </v:shapetype>
              <v:shape id="TextBox 8" o:spid="_x0000_s1026" type="#_x0000_t202" style="position:absolute;left:0;text-align:left;margin-left:82.3pt;margin-top:6.55pt;width:69pt;height:22.6pt;z-index:25165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ZF4lAEAAAwDAAAOAAAAZHJzL2Uyb0RvYy54bWysUk1v2zAMvRfYfxB0X+xmWBsYcYp2QXcZ&#10;2gLtfoAiS7EAS9RIJXb+/SglTYbuNuxCSfx4fHzU8m7yg9gbJAehldezWgoTNHQubFv58+3x80IK&#10;Sip0aoBgWnkwJO9Wn66WY2zMHHoYOoOCQQI1Y2xln1Jsqop0b7yiGUQTOGgBvUr8xG3VoRoZ3Q/V&#10;vK5vqhGwiwjaELF3fQzKVcG31uj0bC2ZJIZWMrdULBa7ybZaLVWzRRV7p0801D+w8MoFbnqGWquk&#10;xA7dX1DeaQQCm2YafAXWOm3KDDzNdf1hmtdeRVNmYXEonmWi/wern/YvKFzXyq9SBOV5RW9mSg8w&#10;iUUWZ4zUcM5r5Kw0sZuX/O4nduaZJ4s+nzyN4DjLfDhLy1hCs3Nxe/Ol5ojm0HxxW8+L9NWlOCKl&#10;7wa8yJdWIm+uCKr2PygxEU59T8m9Ajy6Ycj+zPDIJN/StJlOtDfQHZj1yMttJf3aKTRSYBq+QfkL&#10;GYXi/S4xUmmQy481J1SWvPQ9fY+80z/fJevyiVe/AQAA//8DAFBLAwQUAAYACAAAACEAosdSid0A&#10;AAAJAQAADwAAAGRycy9kb3ducmV2LnhtbEyPzU7DMBCE70i8g7VI3KidhkZViFNV/EgcuFDC3Y2X&#10;OCJeR7HbpG/PcoLbzu5o9ptqt/hBnHGKfSAN2UqBQGqD7anT0Hy83G1BxGTImiEQarhghF19fVWZ&#10;0oaZ3vF8SJ3gEIql0eBSGkspY+vQm7gKIxLfvsLkTWI5ddJOZuZwP8i1UoX0pif+4MyIjw7b78PJ&#10;a0jJ7rNL8+zj6+fy9jQ71W5Mo/XtzbJ/AJFwSX9m+MVndKiZ6RhOZKMYWBf3BVt5yDMQbMjVmhdH&#10;DZttDrKu5P8G9Q8AAAD//wMAUEsBAi0AFAAGAAgAAAAhALaDOJL+AAAA4QEAABMAAAAAAAAAAAAA&#10;AAAAAAAAAFtDb250ZW50X1R5cGVzXS54bWxQSwECLQAUAAYACAAAACEAOP0h/9YAAACUAQAACwAA&#10;AAAAAAAAAAAAAAAvAQAAX3JlbHMvLnJlbHNQSwECLQAUAAYACAAAACEACm2ReJQBAAAMAwAADgAA&#10;AAAAAAAAAAAAAAAuAgAAZHJzL2Uyb0RvYy54bWxQSwECLQAUAAYACAAAACEAosdSid0AAAAJAQAA&#10;DwAAAAAAAAAAAAAAAADuAwAAZHJzL2Rvd25yZXYueG1sUEsFBgAAAAAEAAQA8wAAAPgEAAAAAA==&#10;" filled="f" stroked="f">
                <v:textbox style="mso-fit-shape-to-text:t">
                  <w:txbxContent>
                    <w:p w14:paraId="2813A9CD" w14:textId="77777777" w:rsidR="000A24BD" w:rsidRDefault="000A24BD" w:rsidP="000A24BD">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PDSCH</w:t>
                      </w:r>
                    </w:p>
                  </w:txbxContent>
                </v:textbox>
              </v:shape>
            </w:pict>
          </mc:Fallback>
        </mc:AlternateContent>
      </w:r>
      <w:r w:rsidR="000A24BD">
        <w:rPr>
          <w:noProof/>
        </w:rPr>
        <mc:AlternateContent>
          <mc:Choice Requires="wps">
            <w:drawing>
              <wp:anchor distT="0" distB="0" distL="114300" distR="114300" simplePos="0" relativeHeight="251658752" behindDoc="0" locked="0" layoutInCell="1" allowOverlap="1" wp14:anchorId="4C2D9AE0" wp14:editId="54773B31">
                <wp:simplePos x="0" y="0"/>
                <wp:positionH relativeFrom="column">
                  <wp:posOffset>2702987</wp:posOffset>
                </wp:positionH>
                <wp:positionV relativeFrom="paragraph">
                  <wp:posOffset>22539</wp:posOffset>
                </wp:positionV>
                <wp:extent cx="1" cy="1868837"/>
                <wp:effectExtent l="0" t="0" r="19050" b="17145"/>
                <wp:wrapNone/>
                <wp:docPr id="14" name="Straight Connector 14"/>
                <wp:cNvGraphicFramePr/>
                <a:graphic xmlns:a="http://schemas.openxmlformats.org/drawingml/2006/main">
                  <a:graphicData uri="http://schemas.microsoft.com/office/word/2010/wordprocessingShape">
                    <wps:wsp>
                      <wps:cNvCnPr/>
                      <wps:spPr>
                        <a:xfrm flipH="1">
                          <a:off x="0" y="0"/>
                          <a:ext cx="1" cy="1868837"/>
                        </a:xfrm>
                        <a:prstGeom prst="line">
                          <a:avLst/>
                        </a:prstGeom>
                        <a:ln w="6350">
                          <a:gradFill flip="none" rotWithShape="1">
                            <a:gsLst>
                              <a:gs pos="0">
                                <a:srgbClr val="143C66"/>
                              </a:gs>
                              <a:gs pos="100000">
                                <a:srgbClr val="008080"/>
                              </a:gs>
                            </a:gsLst>
                            <a:lin ang="0" scaled="1"/>
                            <a:tileRect/>
                          </a:gra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FCC716" id="Straight Connector 14" o:spid="_x0000_s1026" style="position:absolute;flip:x;z-index:251658240;visibility:visible;mso-wrap-style:square;mso-wrap-distance-left:9pt;mso-wrap-distance-top:0;mso-wrap-distance-right:9pt;mso-wrap-distance-bottom:0;mso-position-horizontal:absolute;mso-position-horizontal-relative:text;mso-position-vertical:absolute;mso-position-vertical-relative:text" from="212.85pt,1.75pt" to="212.85pt,1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UkqOgIAAM8EAAAOAAAAZHJzL2Uyb0RvYy54bWysVE2P0zAQvSPxHyzfaZLtUqqo6R5aLRwQ&#10;VLsgzq5jJ5b8JY9p2n/P2ElDF8QBRCtZ/pj3Zt6zJ5uHs9HkJAIoZxtaLUpKhOWuVbZr6Ncvj2/W&#10;lEBktmXaWdHQiwD6sH39ajP4Wty53ulWBIIkFurBN7SP0ddFAbwXhsHCeWHxULpgWMRl6Io2sAHZ&#10;jS7uynJVDC60PjguAHB3Px7SbeaXUvD4WUoQkeiGYm0xjyGPxzQW2w2ru8B8r/hUBvuHKgxTFpPO&#10;VHsWGfke1G9URvHgwMm44M4UTkrFRdaAaqryFzXPPfMia0FzwM82wf+j5Z9Oh0BUi3d3T4llBu/o&#10;OQamuj6SnbMWHXSB4CE6NXioEbCzhzCtwB9Ckn2WwRCplf+ARNkIlEbO2efL7LM4R8Jxs6KE4261&#10;Xq3Xy3eJuRgpEpUPEN8LZ0iaNFQrmyxgNTt9hDiGXkPStrZkaOhq+bbMUXiV7aPSOhfTUIuPjpLg&#10;4jcV+2zntb4OkC4RdEC8Q0dHPITuuNOBnBg+mOp+uVutpvo6uI2uyvTLKV9AynKN/xsIKptToRbC&#10;UmPgSwTOtEi2p1hWR6XFE3o9CryqSCdJ7J5BP5bU4mxi1xZ9S1cyXkKexYsWCaTtk5B4rdnstJEb&#10;SszKGOfCxpwbC8zRKUqiczNwUpc68U/AKT5BRW62vwHPiJzZ2TiDjbIujN6+zB7P15LlGH91YNSd&#10;LDi69pKfZ7YGuyY/rqnDU1verjP853do+wMAAP//AwBQSwMEFAAGAAgAAAAhANHF6wfeAAAACQEA&#10;AA8AAABkcnMvZG93bnJldi54bWxMj8FOwzAQRO9I/IO1SNyo00BJCdlUFYgKwYlSqT268ZJE2Oso&#10;dpPw9xhxgONoRjNvitVkjRio961jhPksAUFcOd1yjbB7f7pagvBBsVbGMSF8kYdVeX5WqFy7kd9o&#10;2IZaxBL2uUJoQuhyKX3VkFV+5jri6H243qoQZV9L3asxllsj0yS5lVa1HBca1dFDQ9Xn9mQRxpfU&#10;bqbDIfF2//q4HsL8OdsYxMuLaX0PItAU/sLwgx/RoYxMR3di7YVBuEkXWYwiXC9ARP9XHxHSu2wJ&#10;sizk/wflNwAAAP//AwBQSwECLQAUAAYACAAAACEAtoM4kv4AAADhAQAAEwAAAAAAAAAAAAAAAAAA&#10;AAAAW0NvbnRlbnRfVHlwZXNdLnhtbFBLAQItABQABgAIAAAAIQA4/SH/1gAAAJQBAAALAAAAAAAA&#10;AAAAAAAAAC8BAABfcmVscy8ucmVsc1BLAQItABQABgAIAAAAIQCBaUkqOgIAAM8EAAAOAAAAAAAA&#10;AAAAAAAAAC4CAABkcnMvZTJvRG9jLnhtbFBLAQItABQABgAIAAAAIQDRxesH3gAAAAkBAAAPAAAA&#10;AAAAAAAAAAAAAJQEAABkcnMvZG93bnJldi54bWxQSwUGAAAAAAQABADzAAAAnwUAAAAA&#10;" strokeweight=".5pt">
                <v:stroke dashstyle="dash" joinstyle="miter"/>
              </v:line>
            </w:pict>
          </mc:Fallback>
        </mc:AlternateContent>
      </w:r>
    </w:p>
    <w:p w14:paraId="2B31A351" w14:textId="0212EBEF" w:rsidR="000A24BD" w:rsidRDefault="000A24BD" w:rsidP="006034B0">
      <w:pPr>
        <w:jc w:val="both"/>
        <w:rPr>
          <w:lang w:val="en-GB"/>
        </w:rPr>
      </w:pPr>
      <w:r>
        <w:rPr>
          <w:noProof/>
        </w:rPr>
        <mc:AlternateContent>
          <mc:Choice Requires="wps">
            <w:drawing>
              <wp:anchor distT="0" distB="0" distL="114300" distR="114300" simplePos="0" relativeHeight="251651584" behindDoc="0" locked="0" layoutInCell="1" allowOverlap="1" wp14:anchorId="59A97991" wp14:editId="1DB8067E">
                <wp:simplePos x="0" y="0"/>
                <wp:positionH relativeFrom="column">
                  <wp:posOffset>1089660</wp:posOffset>
                </wp:positionH>
                <wp:positionV relativeFrom="paragraph">
                  <wp:posOffset>146685</wp:posOffset>
                </wp:positionV>
                <wp:extent cx="802005" cy="299085"/>
                <wp:effectExtent l="0" t="0" r="17145" b="24765"/>
                <wp:wrapNone/>
                <wp:docPr id="3" name="Rectangle 3"/>
                <wp:cNvGraphicFramePr/>
                <a:graphic xmlns:a="http://schemas.openxmlformats.org/drawingml/2006/main">
                  <a:graphicData uri="http://schemas.microsoft.com/office/word/2010/wordprocessingShape">
                    <wps:wsp>
                      <wps:cNvSpPr/>
                      <wps:spPr bwMode="auto">
                        <a:xfrm>
                          <a:off x="0" y="0"/>
                          <a:ext cx="802005" cy="299085"/>
                        </a:xfrm>
                        <a:prstGeom prst="rect">
                          <a:avLst/>
                        </a:prstGeom>
                        <a:solidFill>
                          <a:srgbClr val="C00000"/>
                        </a:solidFill>
                        <a:ln w="25400">
                          <a:solidFill>
                            <a:schemeClr val="tx1"/>
                          </a:solidFill>
                        </a:ln>
                        <a:extLst/>
                      </wps:spPr>
                      <wps:txbx>
                        <w:txbxContent>
                          <w:p w14:paraId="3A556AA9"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n-1</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w14:anchorId="59A97991" id="Rectangle 3" o:spid="_x0000_s1027" style="position:absolute;left:0;text-align:left;margin-left:85.8pt;margin-top:11.55pt;width:63.15pt;height:23.55pt;z-index:251651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dsmQwIAAIkEAAAOAAAAZHJzL2Uyb0RvYy54bWysVFGP2jAMfp+0/xDlfbRwsEFFOSFOTJPY&#10;HRo33bNJU6iUJpkTaNmvn5MCx+7epvEQxbXz2f78mel9Wyt2lOgqo3Pe76WcSS1MUeldzn8+Lz+N&#10;OXMedAHKaJnzk3T8fvbxw7SxmRyYvVGFREYg2mWNzfnee5sliRN7WYPrGSs1OUuDNXgycZcUCA2h&#10;1yoZpOnnpDFYWDRCOkdfHzonn0X8spTCP5Wlk56pnFNtPp4Yz204k9kUsh2C3VfiXAb8QxU1VJqS&#10;XqEewAM7YPUOqq4EGmdK3xOmTkxZVkLGHqibfvqmm80erIy9EDnOXmly/w9WPB7XyKoi53ecaahp&#10;RD+INNA7JdldoKexLqOojV3j2XJ0ZdvmuykoGg7exM7bEuvAAPXE2kjw6UqwbD0T9HGc0sxGnAly&#10;DSaTdDwKGRLILo8tOv9VmpqFS86RSongcFw534VeQkIuZ1RVLCulooG77UIhOwLNepGG3xn9rzCl&#10;WUPZR0Nyv8cIupNXFN/230NQuUqHl9TVuarAUWClY8u32zZSGh8H39YUJ+IMTac/Z8WyogZX4Pwa&#10;kARH0qQlIu/e4G/OGhJkzt2vA6DkTH3TNPFJfzgMCo7GcPRlQAbeera3Hn2oF4Z46NP6WRGvId6r&#10;y7VEU7/Q7sxDVnKBFpQ75/5yXfhuTWj3hJzPYxBp1oJf6Y0VATqQEMbx3L4A2vPMPNHyaC7ShezN&#10;6LrY8FKbOWmnrOJcX1kiPQSD9B6Vcd7NsFC3dox6/QeZ/QEAAP//AwBQSwMEFAAGAAgAAAAhAD4k&#10;qALeAAAACQEAAA8AAABkcnMvZG93bnJldi54bWxMj9FKxDAQRd8F/yGM4Iu4aatsd2vTRQVFEQR3&#10;/YBsM7bFZFKabDf7945P+niZw71n6k1yVsw4hcGTgnyRgUBqvRmoU/C5e7pegQhRk9HWEyo4YYBN&#10;c35W68r4I33gvI2d4BIKlVbQxzhWUoa2R6fDwo9IfPvyk9OR49RJM+kjlzsriyxbSqcH4oVej/jY&#10;Y/u9PTgFt6fn1zaPb94+DGF4SenKm/ldqcuLdH8HImKKfzD86rM6NOy09wcyQVjOZb5kVEFxk4Ng&#10;oFiXaxB7BWVWgGxq+f+D5gcAAP//AwBQSwECLQAUAAYACAAAACEAtoM4kv4AAADhAQAAEwAAAAAA&#10;AAAAAAAAAAAAAAAAW0NvbnRlbnRfVHlwZXNdLnhtbFBLAQItABQABgAIAAAAIQA4/SH/1gAAAJQB&#10;AAALAAAAAAAAAAAAAAAAAC8BAABfcmVscy8ucmVsc1BLAQItABQABgAIAAAAIQB35dsmQwIAAIkE&#10;AAAOAAAAAAAAAAAAAAAAAC4CAABkcnMvZTJvRG9jLnhtbFBLAQItABQABgAIAAAAIQA+JKgC3gAA&#10;AAkBAAAPAAAAAAAAAAAAAAAAAJ0EAABkcnMvZG93bnJldi54bWxQSwUGAAAAAAQABADzAAAAqAUA&#10;AAAA&#10;" fillcolor="#c00000" strokecolor="black [3213]" strokeweight="2pt">
                <v:textbox>
                  <w:txbxContent>
                    <w:p w14:paraId="3A556AA9"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n-1</m:t>
                          </m:r>
                        </m:oMath>
                      </m:oMathPara>
                    </w:p>
                  </w:txbxContent>
                </v:textbox>
              </v:rect>
            </w:pict>
          </mc:Fallback>
        </mc:AlternateContent>
      </w:r>
      <w:r>
        <w:rPr>
          <w:noProof/>
        </w:rPr>
        <mc:AlternateContent>
          <mc:Choice Requires="wps">
            <w:drawing>
              <wp:anchor distT="0" distB="0" distL="114300" distR="114300" simplePos="0" relativeHeight="251650560" behindDoc="0" locked="0" layoutInCell="1" allowOverlap="1" wp14:anchorId="2799B766" wp14:editId="54B58415">
                <wp:simplePos x="0" y="0"/>
                <wp:positionH relativeFrom="column">
                  <wp:posOffset>1890395</wp:posOffset>
                </wp:positionH>
                <wp:positionV relativeFrom="paragraph">
                  <wp:posOffset>141605</wp:posOffset>
                </wp:positionV>
                <wp:extent cx="802005" cy="292735"/>
                <wp:effectExtent l="0" t="0" r="17145" b="12065"/>
                <wp:wrapNone/>
                <wp:docPr id="2" name="Rectangle 2"/>
                <wp:cNvGraphicFramePr/>
                <a:graphic xmlns:a="http://schemas.openxmlformats.org/drawingml/2006/main">
                  <a:graphicData uri="http://schemas.microsoft.com/office/word/2010/wordprocessingShape">
                    <wps:wsp>
                      <wps:cNvSpPr/>
                      <wps:spPr bwMode="auto">
                        <a:xfrm>
                          <a:off x="0" y="0"/>
                          <a:ext cx="802005" cy="292735"/>
                        </a:xfrm>
                        <a:prstGeom prst="rect">
                          <a:avLst/>
                        </a:prstGeom>
                        <a:solidFill>
                          <a:schemeClr val="bg2"/>
                        </a:solidFill>
                        <a:ln w="25400">
                          <a:solidFill>
                            <a:schemeClr val="tx1"/>
                          </a:solidFill>
                        </a:ln>
                        <a:extLst/>
                      </wps:spPr>
                      <wps:txbx>
                        <w:txbxContent>
                          <w:p w14:paraId="00483489"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2799B766" id="Rectangle 2" o:spid="_x0000_s1028" style="position:absolute;left:0;text-align:left;margin-left:148.85pt;margin-top:11.15pt;width:63.15pt;height:23.05pt;z-index:251650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4CWRwIAAIgEAAAOAAAAZHJzL2Uyb0RvYy54bWysVE1v2zAMvQ/YfxB0X+x4ydoacYogRYYB&#10;WRssHXqmZTkxoK9JSuzs14+SnTTtbsMugijSj+Tjo2f3nRTkyK1rtCroeJRSwhXTVaN2Bf35vPp0&#10;S4nzoCoQWvGCnrij9/OPH2atyXmm91pU3BIEUS5vTUH33ps8SRzbcwlupA1X6Ky1leDRtLukstAi&#10;uhRJlqZfklbbyljNuHP4+tA76Tzi1zVn/qmuHfdEFBRr8/G08SzDmcxnkO8smH3DhjLgH6qQ0ChM&#10;eoF6AA/kYJu/oGTDrHa69iOmZaLrumE89oDdjNN33Wz3YHjsBclx5kKT+3+w7PG4saSpCppRokDi&#10;iH4gaaB2gpMs0NMal2PU1mzsYDm8krL9riuMhoPXsfOutjIwgD2RLhJ8uhDMO08YPt6mOLMpJQxd&#10;2V1283kaMiSQnz821vmvXEsSLgW1WEoEh+Pa+T70HBJyOS2aatUIEY2gGb4UlhwBp13uYvkI/iZK&#10;KNJi8ukkTSPyG2eU3SuE78ZDfVdRCChUyIdNDUUFigIpPVm+K7uB0YGwUlcnpMzqXn7OsFWD/a3B&#10;+Q1Y1BsqE3cIvXttf1PSoh4L6n4dwHJKxDeFA78bTyZBwNGYTG8yNOy1p7z2qINcaiRhjNtnWLyG&#10;eC/O19pq+YKrswhZ0QWKYe6C+vN16fstwdVjfLGIQShZA36ttoYF6EBCmMZz9wLWDCPzSMujPisX&#10;8neT62PDl0ovUDp1E8caGOxZQjkEA+UehTGsZtinaztGvf5A5n8AAAD//wMAUEsDBBQABgAIAAAA&#10;IQA92wNz3wAAAAkBAAAPAAAAZHJzL2Rvd25yZXYueG1sTI/BTsMwDIbvSLxDZCRuLKWUbitNJzSN&#10;K4yNy25ekrVljVM12VZ4eswJbrb86ff3l4vRdeJsh9B6UnA/SUBY0t60VCv42L7czUCEiGSw82QV&#10;fNkAi+r6qsTC+Au92/Mm1oJDKBSooImxL6QMurEOw8T3lvh28IPDyOtQSzPghcNdJ9MkyaXDlvhD&#10;g71dNlYfNyen4DVd4Xrc6e/tcem0e1y90Wd+UOr2Znx+AhHtGP9g+NVndajYae9PZILoFKTz6ZRR&#10;HtIHEAxkacbl9gryWQayKuX/BtUPAAAA//8DAFBLAQItABQABgAIAAAAIQC2gziS/gAAAOEBAAAT&#10;AAAAAAAAAAAAAAAAAAAAAABbQ29udGVudF9UeXBlc10ueG1sUEsBAi0AFAAGAAgAAAAhADj9If/W&#10;AAAAlAEAAAsAAAAAAAAAAAAAAAAALwEAAF9yZWxzLy5yZWxzUEsBAi0AFAAGAAgAAAAhAG2XgJZH&#10;AgAAiAQAAA4AAAAAAAAAAAAAAAAALgIAAGRycy9lMm9Eb2MueG1sUEsBAi0AFAAGAAgAAAAhAD3b&#10;A3PfAAAACQEAAA8AAAAAAAAAAAAAAAAAoQQAAGRycy9kb3ducmV2LnhtbFBLBQYAAAAABAAEAPMA&#10;AACtBQAAAAA=&#10;" fillcolor="#e7e6e6 [3214]" strokecolor="black [3213]" strokeweight="2pt">
                <v:textbox>
                  <w:txbxContent>
                    <w:p w14:paraId="00483489"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m:t>
                          </m:r>
                        </m:oMath>
                      </m:oMathPara>
                    </w:p>
                  </w:txbxContent>
                </v:textbox>
              </v:rect>
            </w:pict>
          </mc:Fallback>
        </mc:AlternateContent>
      </w:r>
      <w:r>
        <w:rPr>
          <w:noProof/>
        </w:rPr>
        <mc:AlternateContent>
          <mc:Choice Requires="wps">
            <w:drawing>
              <wp:anchor distT="0" distB="0" distL="114300" distR="114300" simplePos="0" relativeHeight="251653632" behindDoc="0" locked="0" layoutInCell="1" allowOverlap="1" wp14:anchorId="530AD499" wp14:editId="3AA09A2B">
                <wp:simplePos x="0" y="0"/>
                <wp:positionH relativeFrom="column">
                  <wp:posOffset>280035</wp:posOffset>
                </wp:positionH>
                <wp:positionV relativeFrom="paragraph">
                  <wp:posOffset>142012</wp:posOffset>
                </wp:positionV>
                <wp:extent cx="802257" cy="299100"/>
                <wp:effectExtent l="0" t="0" r="17145" b="24765"/>
                <wp:wrapNone/>
                <wp:docPr id="4" name="Rectangle 4"/>
                <wp:cNvGraphicFramePr/>
                <a:graphic xmlns:a="http://schemas.openxmlformats.org/drawingml/2006/main">
                  <a:graphicData uri="http://schemas.microsoft.com/office/word/2010/wordprocessingShape">
                    <wps:wsp>
                      <wps:cNvSpPr/>
                      <wps:spPr bwMode="auto">
                        <a:xfrm>
                          <a:off x="0" y="0"/>
                          <a:ext cx="802257" cy="299100"/>
                        </a:xfrm>
                        <a:prstGeom prst="rect">
                          <a:avLst/>
                        </a:prstGeom>
                        <a:solidFill>
                          <a:srgbClr val="92D050"/>
                        </a:solidFill>
                        <a:ln w="25400">
                          <a:solidFill>
                            <a:schemeClr val="tx1"/>
                          </a:solidFill>
                        </a:ln>
                        <a:extLst/>
                      </wps:spPr>
                      <wps:txbx>
                        <w:txbxContent>
                          <w:p w14:paraId="1511212E"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n-2</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530AD499" id="Rectangle 4" o:spid="_x0000_s1029" style="position:absolute;left:0;text-align:left;margin-left:22.05pt;margin-top:11.2pt;width:63.15pt;height:23.55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HnfSgIAAIkEAAAOAAAAZHJzL2Uyb0RvYy54bWysVFGP2jAMfp+0/xDlfbR0sDsqygmBmCax&#10;Gxo33bNJU6iUJpkTaG+/fk6gjN29TXuJ7Nr5HH/+3OlD1yh2kuhqows+HKScSS1MWet9wX88rT7c&#10;c+Y86BKU0bLgL9Lxh9n7d9PW5jIzB6NKiYxAtMtbW/CD9zZPEicOsgE3MFZqClYGG/Dk4j4pEVpC&#10;b1SSpemnpDVYWjRCOkdfl+cgn0X8qpLCf6sqJz1TBae3+XhiPHfhTGZTyPcI9lCLyzPgH17RQK2p&#10;6BVqCR7YEes3UE0t0DhT+YEwTWKqqhYy9kDdDNNX3WwPYGXshchx9kqT+3+w4vG0QVaXBR9xpqGh&#10;EX0n0kDvlWSjQE9rXU5ZW7vBi+fIZLv2qykpG47exM67CpvAAPXEukjwy5Vg2Xkm6ON9mmXjO84E&#10;hbLJZJjGASSQ95ctOv9ZmoYFo+BIT4ngcFo7T+UptU8JtZxRdbmqlYoO7ncLhewENOtJtkzHPfpf&#10;aUqzlqqPR1T8LUbQnbyi+G4YKKCqNxDkKR1uUleXVwWOAitntny36yKlH3v+dqZ8Ic7QnPXnrFjV&#10;1OAanN8AkuBImrREFD0Y/MVZS4IsuPt5BJScqS+aJj4ZjkZBwdEZje8ycvA2sruN6GOzMMTDkNbP&#10;imiGfK96s0LTPNPuzENVCoEWVLvgvjcX/rwmtHtCzucxiTRrwa/11ooAHUgI43jqngHtZWaeaHk0&#10;vXQhfzW6c264qc2ctFPVca6BwTNLRHdwSO+R+MtuhoW69WPWnz/I7DcAAAD//wMAUEsDBBQABgAI&#10;AAAAIQC6MF053gAAAAgBAAAPAAAAZHJzL2Rvd25yZXYueG1sTI/BTsMwEETvSPyDtUjcqNM0bSFk&#10;UxUEFIkTKRI9uvGSRNjrKHbb8Pe4J7jNakYzb4vVaI040uA7xwjTSQKCuHa64wbhY/t8cwvCB8Va&#10;GceE8EMeVuXlRaFy7U78TscqNCKWsM8VQhtCn0vp65as8hPXE0fvyw1WhXgOjdSDOsVya2SaJAtp&#10;VcdxoVU9PbZUf1cHi2Cd+ZynD+ql2rjZ24x3uye3fkW8vhrX9yACjeEvDGf8iA5lZNq7A2svDEKW&#10;TWMSIU0zEGd/mUSxR1jczUGWhfz/QPkLAAD//wMAUEsBAi0AFAAGAAgAAAAhALaDOJL+AAAA4QEA&#10;ABMAAAAAAAAAAAAAAAAAAAAAAFtDb250ZW50X1R5cGVzXS54bWxQSwECLQAUAAYACAAAACEAOP0h&#10;/9YAAACUAQAACwAAAAAAAAAAAAAAAAAvAQAAX3JlbHMvLnJlbHNQSwECLQAUAAYACAAAACEAufB5&#10;30oCAACJBAAADgAAAAAAAAAAAAAAAAAuAgAAZHJzL2Uyb0RvYy54bWxQSwECLQAUAAYACAAAACEA&#10;ujBdOd4AAAAIAQAADwAAAAAAAAAAAAAAAACkBAAAZHJzL2Rvd25yZXYueG1sUEsFBgAAAAAEAAQA&#10;8wAAAK8FAAAAAA==&#10;" fillcolor="#92d050" strokecolor="black [3213]" strokeweight="2pt">
                <v:textbox>
                  <w:txbxContent>
                    <w:p w14:paraId="1511212E"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n-2</m:t>
                          </m:r>
                        </m:oMath>
                      </m:oMathPara>
                    </w:p>
                  </w:txbxContent>
                </v:textbox>
              </v:rect>
            </w:pict>
          </mc:Fallback>
        </mc:AlternateContent>
      </w:r>
    </w:p>
    <w:p w14:paraId="2A531565" w14:textId="2AF1EA58" w:rsidR="000A24BD" w:rsidRDefault="00434837" w:rsidP="006034B0">
      <w:pPr>
        <w:jc w:val="both"/>
        <w:rPr>
          <w:lang w:val="en-GB"/>
        </w:rPr>
      </w:pPr>
      <w:r>
        <w:rPr>
          <w:noProof/>
        </w:rPr>
        <mc:AlternateContent>
          <mc:Choice Requires="wps">
            <w:drawing>
              <wp:anchor distT="0" distB="0" distL="114300" distR="114300" simplePos="0" relativeHeight="251660800" behindDoc="0" locked="0" layoutInCell="1" allowOverlap="1" wp14:anchorId="61390796" wp14:editId="258C4E3D">
                <wp:simplePos x="0" y="0"/>
                <wp:positionH relativeFrom="column">
                  <wp:posOffset>2592705</wp:posOffset>
                </wp:positionH>
                <wp:positionV relativeFrom="paragraph">
                  <wp:posOffset>185420</wp:posOffset>
                </wp:positionV>
                <wp:extent cx="2462530" cy="501650"/>
                <wp:effectExtent l="0" t="0" r="0" b="0"/>
                <wp:wrapNone/>
                <wp:docPr id="13" name="TextBox 20"/>
                <wp:cNvGraphicFramePr/>
                <a:graphic xmlns:a="http://schemas.openxmlformats.org/drawingml/2006/main">
                  <a:graphicData uri="http://schemas.microsoft.com/office/word/2010/wordprocessingShape">
                    <wps:wsp>
                      <wps:cNvSpPr txBox="1"/>
                      <wps:spPr>
                        <a:xfrm>
                          <a:off x="0" y="0"/>
                          <a:ext cx="2462530" cy="501650"/>
                        </a:xfrm>
                        <a:prstGeom prst="rect">
                          <a:avLst/>
                        </a:prstGeom>
                        <a:noFill/>
                      </wps:spPr>
                      <wps:txbx>
                        <w:txbxContent>
                          <w:p w14:paraId="2C2D0123" w14:textId="77777777" w:rsidR="000A24BD" w:rsidRPr="000A24BD" w:rsidRDefault="000A24BD" w:rsidP="000A24BD">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 xml:space="preserve">3ms </w:t>
                            </w:r>
                            <w:proofErr w:type="spellStart"/>
                            <w:r>
                              <w:rPr>
                                <w:rFonts w:ascii="Calibre Semibold" w:hAnsi="Calibre Semibold" w:cstheme="minorBidi"/>
                                <w:color w:val="404040" w:themeColor="text1" w:themeTint="BF"/>
                                <w:kern w:val="24"/>
                              </w:rPr>
                              <w:t>PDSCHprocessing</w:t>
                            </w:r>
                            <w:proofErr w:type="spellEnd"/>
                            <w:r>
                              <w:rPr>
                                <w:rFonts w:ascii="Calibre Semibold" w:hAnsi="Calibre Semibold" w:cstheme="minorBidi"/>
                                <w:color w:val="404040" w:themeColor="text1" w:themeTint="BF"/>
                                <w:kern w:val="24"/>
                              </w:rPr>
                              <w:t xml:space="preserve"> window of </w:t>
                            </w:r>
                            <w:proofErr w:type="spellStart"/>
                            <w:r w:rsidRPr="000A24BD">
                              <w:rPr>
                                <w:rFonts w:ascii="Calibre Semibold" w:hAnsi="Calibre Semibold" w:cstheme="minorBidi"/>
                                <w:color w:val="404040" w:themeColor="text1" w:themeTint="BF"/>
                                <w:kern w:val="24"/>
                              </w:rPr>
                              <w:t>subframe</w:t>
                            </w:r>
                            <w:proofErr w:type="spellEnd"/>
                            <w:r w:rsidRPr="000A24BD">
                              <w:rPr>
                                <w:rFonts w:ascii="Calibre Semibold" w:hAnsi="Calibre Semibold" w:cstheme="minorBidi"/>
                                <w:color w:val="404040" w:themeColor="text1" w:themeTint="BF"/>
                                <w:kern w:val="24"/>
                              </w:rPr>
                              <w:t xml:space="preserve"> </w:t>
                            </w:r>
                            <m:oMath>
                              <m:r>
                                <w:rPr>
                                  <w:rFonts w:ascii="Cambria Math" w:hAnsi="Cambria Math" w:cstheme="minorBidi"/>
                                  <w:color w:val="404040" w:themeColor="text1" w:themeTint="BF"/>
                                  <w:kern w:val="24"/>
                                </w:rPr>
                                <m:t>n</m:t>
                              </m:r>
                            </m:oMath>
                          </w:p>
                        </w:txbxContent>
                      </wps:txbx>
                      <wps:bodyPr wrap="square" rtlCol="0">
                        <a:spAutoFit/>
                      </wps:bodyPr>
                    </wps:wsp>
                  </a:graphicData>
                </a:graphic>
              </wp:anchor>
            </w:drawing>
          </mc:Choice>
          <mc:Fallback>
            <w:pict>
              <v:shape w14:anchorId="61390796" id="TextBox 20" o:spid="_x0000_s1030" type="#_x0000_t202" style="position:absolute;left:0;text-align:left;margin-left:204.15pt;margin-top:14.6pt;width:193.9pt;height:39.5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fqBlwEAABYDAAAOAAAAZHJzL2Uyb0RvYy54bWysUsFu2zAMvQ/YPwi6L3bcJhiMOEW3orsM&#10;24B2H6DIUizAEjVSiZ2/H6WmybDdhl4oiaQe+R65uZv9KI4GyUHo5HJRS2GCht6FfSd/Pj9++CgF&#10;JRV6NUIwnTwZknfb9+82U2xNAwOMvUHBIIHaKXZySCm2VUV6MF7RAqIJHLSAXiV+4r7qUU2M7seq&#10;qet1NQH2EUEbIvY+vATltuBba3T6bi2ZJMZOcm+pWCx2l2213ah2jyoOTp/bUP/RhVcucNEL1INK&#10;ShzQ/QPlnUYgsGmhwVdgrdOmcGA2y/ovNk+DiqZwYXEoXmSit4PV344/ULieZ3cjRVCeZ/Rs5vQJ&#10;ZtEUeaZILWc9Rc5LM/s5NcuW/cTOzHq26PPJfATHWejTRVwGE5qdze26Wd1wSHNsVS/XqwJfXX9H&#10;pPTFgBf50knk4RVN1fErJa7Iqa8puViARzeO2X9tJd/SvJsLo9vXNnfQn7j7icfcSfp1UGikwDR+&#10;hrIVGYzi/SExYKmTUV7+nMFZ/FL+vCh5un++S9Z1nbe/AQAA//8DAFBLAwQUAAYACAAAACEAItc7&#10;xt4AAAAKAQAADwAAAGRycy9kb3ducmV2LnhtbEyPy07DMBBF90j8gzVI7KidACVN41QVD4lFN5Sw&#10;n8ZuEhGPo9ht0r9nWMFydI/uPVNsZteLsx1D50lDslAgLNXedNRoqD7f7jIQISIZ7D1ZDRcbYFNe&#10;XxWYGz/Rhz3vYyO4hEKOGtoYh1zKULfWYVj4wRJnRz86jHyOjTQjTlzuepkqtZQOO+KFFgf73Nr6&#10;e39yGmI02+RSvbrw/jXvXqZW1Y9YaX17M2/XIKKd4x8Mv/qsDiU7HfyJTBC9hgeV3TOqIV2lIBh4&#10;Wi0TEAcmVZaCLAv5/4XyBwAA//8DAFBLAQItABQABgAIAAAAIQC2gziS/gAAAOEBAAATAAAAAAAA&#10;AAAAAAAAAAAAAABbQ29udGVudF9UeXBlc10ueG1sUEsBAi0AFAAGAAgAAAAhADj9If/WAAAAlAEA&#10;AAsAAAAAAAAAAAAAAAAALwEAAF9yZWxzLy5yZWxzUEsBAi0AFAAGAAgAAAAhAA4x+oGXAQAAFgMA&#10;AA4AAAAAAAAAAAAAAAAALgIAAGRycy9lMm9Eb2MueG1sUEsBAi0AFAAGAAgAAAAhACLXO8beAAAA&#10;CgEAAA8AAAAAAAAAAAAAAAAA8QMAAGRycy9kb3ducmV2LnhtbFBLBQYAAAAABAAEAPMAAAD8BAAA&#10;AAA=&#10;" filled="f" stroked="f">
                <v:textbox style="mso-fit-shape-to-text:t">
                  <w:txbxContent>
                    <w:p w14:paraId="2C2D0123" w14:textId="77777777" w:rsidR="000A24BD" w:rsidRPr="000A24BD" w:rsidRDefault="000A24BD" w:rsidP="000A24BD">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 xml:space="preserve">3ms </w:t>
                      </w:r>
                      <w:proofErr w:type="spellStart"/>
                      <w:r>
                        <w:rPr>
                          <w:rFonts w:ascii="Calibre Semibold" w:hAnsi="Calibre Semibold" w:cstheme="minorBidi"/>
                          <w:color w:val="404040" w:themeColor="text1" w:themeTint="BF"/>
                          <w:kern w:val="24"/>
                        </w:rPr>
                        <w:t>PDSCHprocessing</w:t>
                      </w:r>
                      <w:proofErr w:type="spellEnd"/>
                      <w:r>
                        <w:rPr>
                          <w:rFonts w:ascii="Calibre Semibold" w:hAnsi="Calibre Semibold" w:cstheme="minorBidi"/>
                          <w:color w:val="404040" w:themeColor="text1" w:themeTint="BF"/>
                          <w:kern w:val="24"/>
                        </w:rPr>
                        <w:t xml:space="preserve"> window of </w:t>
                      </w:r>
                      <w:proofErr w:type="spellStart"/>
                      <w:r w:rsidRPr="000A24BD">
                        <w:rPr>
                          <w:rFonts w:ascii="Calibre Semibold" w:hAnsi="Calibre Semibold" w:cstheme="minorBidi"/>
                          <w:color w:val="404040" w:themeColor="text1" w:themeTint="BF"/>
                          <w:kern w:val="24"/>
                        </w:rPr>
                        <w:t>subframe</w:t>
                      </w:r>
                      <w:proofErr w:type="spellEnd"/>
                      <w:r w:rsidRPr="000A24BD">
                        <w:rPr>
                          <w:rFonts w:ascii="Calibre Semibold" w:hAnsi="Calibre Semibold" w:cstheme="minorBidi"/>
                          <w:color w:val="404040" w:themeColor="text1" w:themeTint="BF"/>
                          <w:kern w:val="24"/>
                        </w:rPr>
                        <w:t xml:space="preserve"> </w:t>
                      </w:r>
                      <m:oMath>
                        <m:r>
                          <w:rPr>
                            <w:rFonts w:ascii="Cambria Math" w:hAnsi="Cambria Math" w:cstheme="minorBidi"/>
                            <w:color w:val="404040" w:themeColor="text1" w:themeTint="BF"/>
                            <w:kern w:val="24"/>
                          </w:rPr>
                          <m:t>n</m:t>
                        </m:r>
                      </m:oMath>
                    </w:p>
                  </w:txbxContent>
                </v:textbox>
              </v:shape>
            </w:pict>
          </mc:Fallback>
        </mc:AlternateContent>
      </w:r>
    </w:p>
    <w:p w14:paraId="50689BA8" w14:textId="6E1D046C" w:rsidR="000A24BD" w:rsidRDefault="000A24BD" w:rsidP="006034B0">
      <w:pPr>
        <w:jc w:val="both"/>
        <w:rPr>
          <w:lang w:val="en-GB"/>
        </w:rPr>
      </w:pPr>
    </w:p>
    <w:p w14:paraId="58285F4F" w14:textId="4ECDB66B" w:rsidR="000A24BD" w:rsidRDefault="00F114EF" w:rsidP="006034B0">
      <w:pPr>
        <w:jc w:val="both"/>
        <w:rPr>
          <w:lang w:val="en-GB"/>
        </w:rPr>
      </w:pPr>
      <w:r>
        <w:rPr>
          <w:noProof/>
        </w:rPr>
        <mc:AlternateContent>
          <mc:Choice Requires="wps">
            <w:drawing>
              <wp:anchor distT="0" distB="0" distL="114300" distR="114300" simplePos="0" relativeHeight="251657728" behindDoc="0" locked="0" layoutInCell="1" allowOverlap="1" wp14:anchorId="10FAB360" wp14:editId="32DAEAA5">
                <wp:simplePos x="0" y="0"/>
                <wp:positionH relativeFrom="column">
                  <wp:posOffset>2699384</wp:posOffset>
                </wp:positionH>
                <wp:positionV relativeFrom="paragraph">
                  <wp:posOffset>201930</wp:posOffset>
                </wp:positionV>
                <wp:extent cx="695325" cy="297815"/>
                <wp:effectExtent l="0" t="0" r="28575" b="26035"/>
                <wp:wrapNone/>
                <wp:docPr id="9" name="Rectangle 9"/>
                <wp:cNvGraphicFramePr/>
                <a:graphic xmlns:a="http://schemas.openxmlformats.org/drawingml/2006/main">
                  <a:graphicData uri="http://schemas.microsoft.com/office/word/2010/wordprocessingShape">
                    <wps:wsp>
                      <wps:cNvSpPr/>
                      <wps:spPr bwMode="auto">
                        <a:xfrm>
                          <a:off x="0" y="0"/>
                          <a:ext cx="695325" cy="297815"/>
                        </a:xfrm>
                        <a:prstGeom prst="rect">
                          <a:avLst/>
                        </a:prstGeom>
                        <a:solidFill>
                          <a:srgbClr val="92D050"/>
                        </a:solidFill>
                        <a:ln w="25400">
                          <a:solidFill>
                            <a:schemeClr val="tx1"/>
                          </a:solidFill>
                        </a:ln>
                        <a:extLst/>
                      </wps:spPr>
                      <wps:txbx>
                        <w:txbxContent>
                          <w:p w14:paraId="3032B672"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n-2</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10FAB360" id="Rectangle 9" o:spid="_x0000_s1031" style="position:absolute;left:0;text-align:left;margin-left:212.55pt;margin-top:15.9pt;width:54.75pt;height:23.45pt;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ih9SgIAAIkEAAAOAAAAZHJzL2Uyb0RvYy54bWysVFGP2jAMfp+0/xDlfbQwuDsqygmBmCax&#10;Gxo33bNJU6iUJpkTaNmvn5MCx93epr1Ecex+tj9/7uSxrRU7SnSV0Tnv91LOpBamqPQu5z+fl58e&#10;OHMedAHKaJnzk3T8cfrxw6SxmRyYvVGFREYg2mWNzfnee5sliRN7WYPrGSs1OUuDNXgycZcUCA2h&#10;1yoZpOld0hgsLBohnaPXRefk04hfllL472XppGcq51SbjyfGcxvOZDqBbIdg95U4lwH/UEUNlaak&#10;V6gFeGAHrP6CqiuBxpnS94SpE1OWlZCxB+qmn77rZrMHK2MvRI6zV5rc/4MVT8c1sqrI+ZgzDTWN&#10;6AeRBnqnJBsHehrrMora2DWeLUdXtm2+mYKi4eBN7LwtsQ4MUE+sjQSfrgTL1jNBj3fj0efBiDNB&#10;rsH4/qE/ChkSyC4fW3T+izQ1C5ecI5USweG4cr4LvYSEXM6oqlhWSkUDd9u5QnYEmvV4sEhHcbyE&#10;/iZMadZQ9tEwTSP0G2fUnbyi+LZ/LvAmigCVDgmpq3NVgaPASseWb7dtpDR2F3xbU5yIMzSd/pwV&#10;y4oaXIHza0ASHEmTloi8e4O/OWtIkDl3vw6AkjP1VdPEx/3hMCg4GsPR/YAMvPVsbz36UM8N8dCn&#10;9bMiXkO8V5driaZ+od2ZhazkAi0od8795Tr33ZrQ7gk5m8Ug0qwFv9IbKwJ0ICGM47l9AbTnmXmi&#10;5clcpAvZu9F1seFLbWaknbKKc31lifQQDNJ7VMZ5N8NC3dox6vUPMv0DAAD//wMAUEsDBBQABgAI&#10;AAAAIQDXYBNA4AAAAAkBAAAPAAAAZHJzL2Rvd25yZXYueG1sTI/LTsMwEEX3SPyDNUjsqPNo2irE&#10;qQriUYkVoVK7nCYmibBnothtw99jVrAczdG95xbryRpx1qPrmRTEswiEppqbnloFu4/nuxUI55Ea&#10;NExawbd2sC6vrwrMG77Quz5XvhUhhFyOCjrvh1xKV3faopvxoCn8Pnm06MM5trIZ8RLCrZFJFC2k&#10;xZ5CQ4eDfux0/VWdrALLZp8lD/hSvXL6ltLh8MSbrVK3N9PmHoTXk/+D4Vc/qEMZnI58osYJo2Ce&#10;ZHFAFaRxmBCALJ0vQBwVLFdLkGUh/y8ofwAAAP//AwBQSwECLQAUAAYACAAAACEAtoM4kv4AAADh&#10;AQAAEwAAAAAAAAAAAAAAAAAAAAAAW0NvbnRlbnRfVHlwZXNdLnhtbFBLAQItABQABgAIAAAAIQA4&#10;/SH/1gAAAJQBAAALAAAAAAAAAAAAAAAAAC8BAABfcmVscy8ucmVsc1BLAQItABQABgAIAAAAIQAs&#10;mih9SgIAAIkEAAAOAAAAAAAAAAAAAAAAAC4CAABkcnMvZTJvRG9jLnhtbFBLAQItABQABgAIAAAA&#10;IQDXYBNA4AAAAAkBAAAPAAAAAAAAAAAAAAAAAKQEAABkcnMvZG93bnJldi54bWxQSwUGAAAAAAQA&#10;BADzAAAAsQUAAAAA&#10;" fillcolor="#92d050" strokecolor="black [3213]" strokeweight="2pt">
                <v:textbox>
                  <w:txbxContent>
                    <w:p w14:paraId="3032B672"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n-2</m:t>
                          </m:r>
                        </m:oMath>
                      </m:oMathPara>
                    </w:p>
                  </w:txbxContent>
                </v:textbox>
              </v:rect>
            </w:pict>
          </mc:Fallback>
        </mc:AlternateContent>
      </w:r>
      <w:r>
        <w:rPr>
          <w:noProof/>
        </w:rPr>
        <mc:AlternateContent>
          <mc:Choice Requires="wps">
            <w:drawing>
              <wp:anchor distT="0" distB="0" distL="114300" distR="114300" simplePos="0" relativeHeight="251656704" behindDoc="0" locked="0" layoutInCell="1" allowOverlap="1" wp14:anchorId="4DD44934" wp14:editId="44DBF4B9">
                <wp:simplePos x="0" y="0"/>
                <wp:positionH relativeFrom="column">
                  <wp:posOffset>3394710</wp:posOffset>
                </wp:positionH>
                <wp:positionV relativeFrom="paragraph">
                  <wp:posOffset>201930</wp:posOffset>
                </wp:positionV>
                <wp:extent cx="690880" cy="297815"/>
                <wp:effectExtent l="0" t="0" r="13970" b="26035"/>
                <wp:wrapNone/>
                <wp:docPr id="8" name="Rectangle 8"/>
                <wp:cNvGraphicFramePr/>
                <a:graphic xmlns:a="http://schemas.openxmlformats.org/drawingml/2006/main">
                  <a:graphicData uri="http://schemas.microsoft.com/office/word/2010/wordprocessingShape">
                    <wps:wsp>
                      <wps:cNvSpPr/>
                      <wps:spPr bwMode="auto">
                        <a:xfrm>
                          <a:off x="0" y="0"/>
                          <a:ext cx="690880" cy="297815"/>
                        </a:xfrm>
                        <a:prstGeom prst="rect">
                          <a:avLst/>
                        </a:prstGeom>
                        <a:solidFill>
                          <a:srgbClr val="C00000"/>
                        </a:solidFill>
                        <a:ln w="25400">
                          <a:solidFill>
                            <a:schemeClr val="tx1"/>
                          </a:solidFill>
                        </a:ln>
                        <a:extLst/>
                      </wps:spPr>
                      <wps:txbx>
                        <w:txbxContent>
                          <w:p w14:paraId="2FE0FA06"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n-1</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4DD44934" id="Rectangle 8" o:spid="_x0000_s1032" style="position:absolute;left:0;text-align:left;margin-left:267.3pt;margin-top:15.9pt;width:54.4pt;height:23.45pt;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egBRAIAAIkEAAAOAAAAZHJzL2Uyb0RvYy54bWysVE2P2jAQvVfqf7B8LwkIWIgIK8SKqhLd&#10;omWrPQ+OA5Ec2x0bEvrrOzYfS5dbVQ6WJzN+M/PmDZPHtlbsINFVRue820k5k1qYotLbnP98XXwZ&#10;ceY86AKU0TLnR+n44/Tzp0ljM9kzO6MKiYxAtMsam/Od9zZLEid2sgbXMVZqcpYGa/Bk4jYpEBpC&#10;r1XSS9Nh0hgsLBohnaOvTycnn0b8spTC/yhLJz1TOafafDwxnptwJtMJZFsEu6vEuQz4hypqqDQl&#10;vUI9gQe2x+oOqq4EGmdK3xGmTkxZVkLGHqibbvqhm/UOrIy9EDnOXmly/w9WPB9WyKoi5zQoDTWN&#10;6IVIA71Vko0CPY11GUWt7QrPlqMr2zTfTUHRsPcmdt6WWAcGqCfWRoKPV4Jl65mgj8NxOhrRGAS5&#10;euOHUXcQMiSQXR5bdP6rNDULl5wjlRLB4bB0/hR6CQm5nFFVsaiUigZuN3OF7AA063kafmf0v8KU&#10;Zg1lH/TJfY8RdCevKL7t3kNQuUqHl9TVuarAUWDlxJZvN22kdBgeB9/GFEfiDM1Jf86KRUUNLsH5&#10;FSAJjjihJSLvzuBvzhoSZM7drz2g5Ex90zTxcbffDwqORn/w0CMDbz2bW4/e13NDPHRp/ayI1xDv&#10;1eVaoqnfaHdmISu5QAvKnXN/uc79aU1o94SczWIQadaCX+q1FQE6kBDG8dq+AdrzzDzR8mwu0oXs&#10;w+hOseGlNjPSTlnFub6zRHoIBuk9KuO8m2Ghbu0Y9f4PMv0DAAD//wMAUEsDBBQABgAIAAAAIQD6&#10;rwGp3wAAAAkBAAAPAAAAZHJzL2Rvd25yZXYueG1sTI/RSsMwFIbvBd8hHMEb2dLa2o3a06GC4hAE&#10;Nx8ga2IbTE5Kk3XZ2xuv9PJwPv7/+5tNtIbNavLaEUK+zIAp6pzU1CN87p8Xa2A+CJLCOFIIZ+Vh&#10;015eNKKW7kQfat6FnqUQ8rVAGEIYa859Nygr/NKNitLvy01WhHROPZeTOKVwa/htllXcCk2pYRCj&#10;ehpU9707WoTy/LLt8vDmzKP2+jXGGyfnd8Trq/hwDyyoGP5g+NVP6tAmp4M7kvTMINwVZZVQhCJP&#10;ExJQlUUJ7ICwWq+Atw3/v6D9AQAA//8DAFBLAQItABQABgAIAAAAIQC2gziS/gAAAOEBAAATAAAA&#10;AAAAAAAAAAAAAAAAAABbQ29udGVudF9UeXBlc10ueG1sUEsBAi0AFAAGAAgAAAAhADj9If/WAAAA&#10;lAEAAAsAAAAAAAAAAAAAAAAALwEAAF9yZWxzLy5yZWxzUEsBAi0AFAAGAAgAAAAhABqx6AFEAgAA&#10;iQQAAA4AAAAAAAAAAAAAAAAALgIAAGRycy9lMm9Eb2MueG1sUEsBAi0AFAAGAAgAAAAhAPqvAanf&#10;AAAACQEAAA8AAAAAAAAAAAAAAAAAngQAAGRycy9kb3ducmV2LnhtbFBLBQYAAAAABAAEAPMAAACq&#10;BQAAAAA=&#10;" fillcolor="#c00000" strokecolor="black [3213]" strokeweight="2pt">
                <v:textbox>
                  <w:txbxContent>
                    <w:p w14:paraId="2FE0FA06"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n-1</m:t>
                          </m:r>
                        </m:oMath>
                      </m:oMathPara>
                    </w:p>
                  </w:txbxContent>
                </v:textbox>
              </v:rect>
            </w:pict>
          </mc:Fallback>
        </mc:AlternateContent>
      </w:r>
      <w:r w:rsidR="000A24BD">
        <w:rPr>
          <w:noProof/>
        </w:rPr>
        <mc:AlternateContent>
          <mc:Choice Requires="wps">
            <w:drawing>
              <wp:anchor distT="0" distB="0" distL="114300" distR="114300" simplePos="0" relativeHeight="251655680" behindDoc="0" locked="0" layoutInCell="1" allowOverlap="1" wp14:anchorId="1100EE2F" wp14:editId="79CD827A">
                <wp:simplePos x="0" y="0"/>
                <wp:positionH relativeFrom="column">
                  <wp:posOffset>4069715</wp:posOffset>
                </wp:positionH>
                <wp:positionV relativeFrom="paragraph">
                  <wp:posOffset>201295</wp:posOffset>
                </wp:positionV>
                <wp:extent cx="786130" cy="292735"/>
                <wp:effectExtent l="0" t="0" r="13970" b="12065"/>
                <wp:wrapNone/>
                <wp:docPr id="7" name="Rectangle 7"/>
                <wp:cNvGraphicFramePr/>
                <a:graphic xmlns:a="http://schemas.openxmlformats.org/drawingml/2006/main">
                  <a:graphicData uri="http://schemas.microsoft.com/office/word/2010/wordprocessingShape">
                    <wps:wsp>
                      <wps:cNvSpPr/>
                      <wps:spPr bwMode="auto">
                        <a:xfrm>
                          <a:off x="0" y="0"/>
                          <a:ext cx="786130" cy="292735"/>
                        </a:xfrm>
                        <a:prstGeom prst="rect">
                          <a:avLst/>
                        </a:prstGeom>
                        <a:solidFill>
                          <a:schemeClr val="bg2"/>
                        </a:solidFill>
                        <a:ln w="25400">
                          <a:solidFill>
                            <a:schemeClr val="tx1"/>
                          </a:solidFill>
                        </a:ln>
                        <a:extLst/>
                      </wps:spPr>
                      <wps:txbx>
                        <w:txbxContent>
                          <w:p w14:paraId="1FCBD290"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1100EE2F" id="Rectangle 7" o:spid="_x0000_s1033" style="position:absolute;left:0;text-align:left;margin-left:320.45pt;margin-top:15.85pt;width:61.9pt;height:23.05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V+RgIAAIgEAAAOAAAAZHJzL2Uyb0RvYy54bWysVE1v2zAMvQ/YfxB0X/zRpGmNOEWQIsOA&#10;rAuWDj3TspwYkCVNUmJnv36U7KRpext2EUSRfiQfHz176BpBjtzYWsmcJqOYEi6ZKmu5y+mv59WX&#10;O0qsA1mCUJLn9MQtfZh//jRrdcZTtVei5IYgiLRZq3O6d05nUWTZnjdgR0pzic5KmQYcmmYXlQZa&#10;RG9ElMbxbdQqU2qjGLcWXx97J50H/KrizP2oKssdETnF2lw4TTgLf0bzGWQ7A3pfs6EM+IcqGqgl&#10;Jr1APYIDcjD1B6imZkZZVbkRU02kqqpmPPSA3STxu262e9A89ILkWH2hyf4/WPZ03BhSlzmdUiKh&#10;wRH9RNJA7gQnU09Pq22GUVu9MYNl8UqK9rsqMRoOToXOu8o0ngHsiXSB4NOFYN45wvBxeneb3OAY&#10;GLrS+3R6M/EZIsjOH2tj3VeuGuIvOTVYSgCH49q6PvQc4nNZJepyVQsRDK8ZvhSGHAGnXezSAfxN&#10;lJCkxeSTcRwH5DfOILtXCNclHyGwWiF9PmxqKMpT5EnpyXJd0Q2MDoQVqjwhZUb18rOarWrsbw3W&#10;bcCg3pAS3CH07pX5Q0mLesyp/X0AwykR3yQO/D4Zj72AgzGeTFM0zLWnuPbIQ7NUSEKC26dZuPp4&#10;J87XyqjmBVdn4bOiCyTD3Dl15+vS9VuCq8f4YhGCULIa3FpuNfPQngQ/jefuBYweRuaQlid1Vi5k&#10;7ybXx/ovpVqgdKo6jNUz2LOEcvAGyj0IY1hNv0/Xdoh6/YHM/wIAAP//AwBQSwMEFAAGAAgAAAAh&#10;AJUqSZneAAAACQEAAA8AAABkcnMvZG93bnJldi54bWxMj01PwzAMhu9I/IfISNxYujHaUZpOaBpX&#10;PjYu3LzGa8sap2qyrfDrMSe4vZYfvX5cLEfXqRMNofVsYDpJQBFX3rZcG3jfPt0sQIWIbLHzTAa+&#10;KMCyvLwoMLf+zG902sRaSQmHHA00Mfa51qFqyGGY+J5Ydns/OIwyDrW2A56l3HV6liSpdtiyXGiw&#10;p1VD1WFzdAaeZ2t8HT+q7+1h5Sp3t37hz3RvzPXV+PgAKtIY/2D41Rd1KMVp549sg+oMpPPkXlAD&#10;t9MMlABZOpewk5AtQJeF/v9B+QMAAP//AwBQSwECLQAUAAYACAAAACEAtoM4kv4AAADhAQAAEwAA&#10;AAAAAAAAAAAAAAAAAAAAW0NvbnRlbnRfVHlwZXNdLnhtbFBLAQItABQABgAIAAAAIQA4/SH/1gAA&#10;AJQBAAALAAAAAAAAAAAAAAAAAC8BAABfcmVscy8ucmVsc1BLAQItABQABgAIAAAAIQB9vZV+RgIA&#10;AIgEAAAOAAAAAAAAAAAAAAAAAC4CAABkcnMvZTJvRG9jLnhtbFBLAQItABQABgAIAAAAIQCVKkmZ&#10;3gAAAAkBAAAPAAAAAAAAAAAAAAAAAKAEAABkcnMvZG93bnJldi54bWxQSwUGAAAAAAQABADzAAAA&#10;qwUAAAAA&#10;" fillcolor="#e7e6e6 [3214]" strokecolor="black [3213]" strokeweight="2pt">
                <v:textbox>
                  <w:txbxContent>
                    <w:p w14:paraId="1FCBD290"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m:t>
                          </m:r>
                        </m:oMath>
                      </m:oMathPara>
                    </w:p>
                  </w:txbxContent>
                </v:textbox>
              </v:rect>
            </w:pict>
          </mc:Fallback>
        </mc:AlternateContent>
      </w:r>
      <w:r w:rsidR="000A24BD">
        <w:rPr>
          <w:noProof/>
        </w:rPr>
        <mc:AlternateContent>
          <mc:Choice Requires="wps">
            <w:drawing>
              <wp:anchor distT="0" distB="0" distL="114300" distR="114300" simplePos="0" relativeHeight="251654656" behindDoc="0" locked="0" layoutInCell="1" allowOverlap="1" wp14:anchorId="00732E8E" wp14:editId="4DC7944C">
                <wp:simplePos x="0" y="0"/>
                <wp:positionH relativeFrom="column">
                  <wp:posOffset>880824</wp:posOffset>
                </wp:positionH>
                <wp:positionV relativeFrom="paragraph">
                  <wp:posOffset>98251</wp:posOffset>
                </wp:positionV>
                <wp:extent cx="1357630" cy="445135"/>
                <wp:effectExtent l="0" t="0" r="0" b="0"/>
                <wp:wrapNone/>
                <wp:docPr id="6" name="TextBox 9"/>
                <wp:cNvGraphicFramePr/>
                <a:graphic xmlns:a="http://schemas.openxmlformats.org/drawingml/2006/main">
                  <a:graphicData uri="http://schemas.microsoft.com/office/word/2010/wordprocessingShape">
                    <wps:wsp>
                      <wps:cNvSpPr txBox="1"/>
                      <wps:spPr>
                        <a:xfrm>
                          <a:off x="0" y="0"/>
                          <a:ext cx="1357630" cy="445135"/>
                        </a:xfrm>
                        <a:prstGeom prst="rect">
                          <a:avLst/>
                        </a:prstGeom>
                        <a:noFill/>
                      </wps:spPr>
                      <wps:txbx>
                        <w:txbxContent>
                          <w:p w14:paraId="0229DC9F" w14:textId="77777777" w:rsidR="000A24BD" w:rsidRDefault="000A24BD" w:rsidP="000A24BD">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 xml:space="preserve">Processing window </w:t>
                            </w:r>
                          </w:p>
                        </w:txbxContent>
                      </wps:txbx>
                      <wps:bodyPr wrap="square" rtlCol="0">
                        <a:spAutoFit/>
                      </wps:bodyPr>
                    </wps:wsp>
                  </a:graphicData>
                </a:graphic>
              </wp:anchor>
            </w:drawing>
          </mc:Choice>
          <mc:Fallback>
            <w:pict>
              <v:shape w14:anchorId="00732E8E" id="TextBox 9" o:spid="_x0000_s1034" type="#_x0000_t202" style="position:absolute;left:0;text-align:left;margin-left:69.35pt;margin-top:7.75pt;width:106.9pt;height:35.05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oMulQEAABQDAAAOAAAAZHJzL2Uyb0RvYy54bWysUttOGzEQfUfqP1h+bzbcAqyyQS0IXipA&#10;Aj7A8dpZS2uPO+NkN3/P2LmA2reqL77M5ficM57fjr4XG4PkIDTydDKVwgQNrQurRr6/PXy/loKS&#10;Cq3qIZhGbg3J28W3k/kQa3MGHfStQcEggeohNrJLKdZVRbozXtEEogmctIBeJb7iqmpRDYzu++ps&#10;Op1VA2AbEbQh4uj9LikXBd9ao9OztWSS6BvJ3FJZsazLvFaLuapXqGLn9J6G+gcWXrnAjx6h7lVS&#10;Yo3uLyjvNAKBTRMNvgJrnTZFA6s5nf6h5rVT0RQtbA7Fo030/2D10+YFhWsbOZMiKM8jejNj+gmj&#10;uMnmDJFqrnmNXJVGDvOQD3HiYNY8WvR5ZzWC82zz9mgtYwmdm84vr2bnnNKcu7i45HuGqT67I1J6&#10;NOBFPjQSeXTFUbX5RWlXeijJjwV4cH2f45nijko+pXE5Fj3XB5pLaLfMfuAhN5J+rxUaKTD1d1D+&#10;RAaj+GOdGLC8k1F2PXtwtr4w3X+TPNuv91L1+ZkXHwAAAP//AwBQSwMEFAAGAAgAAAAhAC9DrCzc&#10;AAAACQEAAA8AAABkcnMvZG93bnJldi54bWxMj81OwzAQhO9IvIO1SNyo01YuUYhTVfxIHLhQwn0b&#10;u3HUeB3FbpO+PcsJbjPaT7Mz5Xb2vbjYMXaBNCwXGQhLTTAdtRrqr7eHHERMSAb7QFbD1UbYVrc3&#10;JRYmTPRpL/vUCg6hWKAGl9JQSBkbZz3GRRgs8e0YRo+J7dhKM+LE4b6XqyzbSI8d8QeHg312tjnt&#10;z15DSma3vNavPr5/zx8vk8sahbXW93fz7glEsnP6g+G3PleHijsdwplMFD37df7IKAulQDCwVisW&#10;Bw252oCsSvl/QfUDAAD//wMAUEsBAi0AFAAGAAgAAAAhALaDOJL+AAAA4QEAABMAAAAAAAAAAAAA&#10;AAAAAAAAAFtDb250ZW50X1R5cGVzXS54bWxQSwECLQAUAAYACAAAACEAOP0h/9YAAACUAQAACwAA&#10;AAAAAAAAAAAAAAAvAQAAX3JlbHMvLnJlbHNQSwECLQAUAAYACAAAACEAWa6DLpUBAAAUAwAADgAA&#10;AAAAAAAAAAAAAAAuAgAAZHJzL2Uyb0RvYy54bWxQSwECLQAUAAYACAAAACEAL0OsLNwAAAAJAQAA&#10;DwAAAAAAAAAAAAAAAADvAwAAZHJzL2Rvd25yZXYueG1sUEsFBgAAAAAEAAQA8wAAAPgEAAAAAA==&#10;" filled="f" stroked="f">
                <v:textbox style="mso-fit-shape-to-text:t">
                  <w:txbxContent>
                    <w:p w14:paraId="0229DC9F" w14:textId="77777777" w:rsidR="000A24BD" w:rsidRDefault="000A24BD" w:rsidP="000A24BD">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 xml:space="preserve">Processing window </w:t>
                      </w:r>
                    </w:p>
                  </w:txbxContent>
                </v:textbox>
              </v:shape>
            </w:pict>
          </mc:Fallback>
        </mc:AlternateContent>
      </w:r>
    </w:p>
    <w:p w14:paraId="1FDD4D64" w14:textId="77777777" w:rsidR="000A24BD" w:rsidRDefault="000A24BD" w:rsidP="006034B0">
      <w:pPr>
        <w:jc w:val="both"/>
        <w:rPr>
          <w:lang w:val="en-GB"/>
        </w:rPr>
      </w:pPr>
    </w:p>
    <w:p w14:paraId="07EEBA31" w14:textId="6F347084" w:rsidR="000A24BD" w:rsidRDefault="000A24BD" w:rsidP="006034B0">
      <w:pPr>
        <w:jc w:val="both"/>
        <w:rPr>
          <w:lang w:val="en-GB"/>
        </w:rPr>
      </w:pPr>
      <w:r>
        <w:rPr>
          <w:noProof/>
        </w:rPr>
        <mc:AlternateContent>
          <mc:Choice Requires="wps">
            <w:drawing>
              <wp:anchor distT="0" distB="0" distL="114300" distR="114300" simplePos="0" relativeHeight="251662848" behindDoc="0" locked="0" layoutInCell="1" allowOverlap="1" wp14:anchorId="15FF3FF0" wp14:editId="2E17ADBD">
                <wp:simplePos x="0" y="0"/>
                <wp:positionH relativeFrom="column">
                  <wp:posOffset>4093422</wp:posOffset>
                </wp:positionH>
                <wp:positionV relativeFrom="paragraph">
                  <wp:posOffset>86457</wp:posOffset>
                </wp:positionV>
                <wp:extent cx="810884" cy="0"/>
                <wp:effectExtent l="38100" t="76200" r="27940" b="95250"/>
                <wp:wrapNone/>
                <wp:docPr id="10" name="Straight Arrow Connector 10"/>
                <wp:cNvGraphicFramePr/>
                <a:graphic xmlns:a="http://schemas.openxmlformats.org/drawingml/2006/main">
                  <a:graphicData uri="http://schemas.microsoft.com/office/word/2010/wordprocessingShape">
                    <wps:wsp>
                      <wps:cNvCnPr/>
                      <wps:spPr>
                        <a:xfrm>
                          <a:off x="0" y="0"/>
                          <a:ext cx="810884" cy="0"/>
                        </a:xfrm>
                        <a:prstGeom prst="straightConnector1">
                          <a:avLst/>
                        </a:prstGeom>
                        <a:ln w="15875">
                          <a:gradFill flip="none" rotWithShape="1">
                            <a:gsLst>
                              <a:gs pos="0">
                                <a:srgbClr val="143C66"/>
                              </a:gs>
                              <a:gs pos="100000">
                                <a:srgbClr val="008080"/>
                              </a:gs>
                            </a:gsLst>
                            <a:lin ang="0" scaled="1"/>
                            <a:tileRect/>
                          </a:gra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95EF2A" id="Straight Arrow Connector 10" o:spid="_x0000_s1026" type="#_x0000_t32" style="position:absolute;margin-left:322.3pt;margin-top:6.8pt;width:63.8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WIsRgIAAPkEAAAOAAAAZHJzL2Uyb0RvYy54bWysVFFv0zAQfkfiP1h5p0nGVqKo7YQ6xguC&#10;ahvi2XXOiSXHts6maf89ZyfNCoMHEK3kxPZ9d/d9d5fV7bHX7ADolTXrrFwUGQMjbKNMu86+Pt2/&#10;qTLmAzcN19bAOjuBz243r1+tBlfDle2sbgAZOTG+Htw660JwdZ570UHP/cI6MHQpLfY80BbbvEE+&#10;kPde51dFscwHi41DK8B7Or0bL7NN8i8liPBFSg+B6XVGuYW0Ylr3cc03K163yF2nxJQG/4cseq4M&#10;BZ1d3fHA2XdUL1z1SqD1VoaFsH1upVQCEgdiUxa/sHnsuIPEhcTxbpbJ/z+34vNhh0w1VDuSx/Ce&#10;avQYkKu2C+w9oh3Y1hpDOlpkZEJ6Dc7XBNuaHU4773YYyR8l9vFJtNgxaXyaNYZjYIIOq7KoquuM&#10;ifNV/oxz6MNHsD2LL+vMT3nMCZRJYn745ANFJuAZEINqwwZicVO9uzlXorlXWjOpFTWWofbLGNrw&#10;TYUuCUvGo6Enf6l2njlL2hbp2GO732pkB06tU16/3S6XkT1Fbf2ldVnE30tIUVT0v4Ak5BRKK8N4&#10;HBES3QuuIRYg2vI6KA0PpPcUC3liEW864M0H07BwclSlgIo8aJhQXOnf31FYbSjvWLaxUOktnDRE&#10;p9o8gKQGoNKMcqTRg5k5FwJMSLklT2QdYZKUnYET+zizfwJO9hEKaSz/BjwjUmRrwgzulbE4av9z&#10;9HA8pyxH+7MCI+8owd42p9TCSRqar7G447cgDvDlPsGfv1ibHwAAAP//AwBQSwMEFAAGAAgAAAAh&#10;AA12faLeAAAACQEAAA8AAABkcnMvZG93bnJldi54bWxMj0FPwzAMhe9I/IfISNxYSld1qDSdJlRu&#10;XBjTELes8dqqiVM12Vb49RhxgJNlv6fn75Xr2Vlxxin0nhTcLxIQSI03PbUKdm/Pdw8gQtRktPWE&#10;Cj4xwLq6vip1YfyFXvG8ja3gEAqFVtDFOBZShqZDp8PCj0isHf3kdOR1aqWZ9IXDnZVpkuTS6Z74&#10;Q6dHfOqwGbYnp2A/Huv05X1vY/2VbWoz1B9Ds1Pq9mbePIKIOMc/M/zgMzpUzHTwJzJBWAV5luVs&#10;ZWHJkw2rVboEcfg9yKqU/xtU3wAAAP//AwBQSwECLQAUAAYACAAAACEAtoM4kv4AAADhAQAAEwAA&#10;AAAAAAAAAAAAAAAAAAAAW0NvbnRlbnRfVHlwZXNdLnhtbFBLAQItABQABgAIAAAAIQA4/SH/1gAA&#10;AJQBAAALAAAAAAAAAAAAAAAAAC8BAABfcmVscy8ucmVsc1BLAQItABQABgAIAAAAIQAp1WIsRgIA&#10;APkEAAAOAAAAAAAAAAAAAAAAAC4CAABkcnMvZTJvRG9jLnhtbFBLAQItABQABgAIAAAAIQANdn2i&#10;3gAAAAkBAAAPAAAAAAAAAAAAAAAAAKAEAABkcnMvZG93bnJldi54bWxQSwUGAAAAAAQABADzAAAA&#10;qwUAAAAA&#10;" strokeweight="1.25pt">
                <v:stroke startarrow="block" endarrow="block" joinstyle="miter"/>
              </v:shape>
            </w:pict>
          </mc:Fallback>
        </mc:AlternateContent>
      </w:r>
      <w:r>
        <w:rPr>
          <w:noProof/>
        </w:rPr>
        <mc:AlternateContent>
          <mc:Choice Requires="wps">
            <w:drawing>
              <wp:anchor distT="0" distB="0" distL="114300" distR="114300" simplePos="0" relativeHeight="251663872" behindDoc="0" locked="0" layoutInCell="1" allowOverlap="1" wp14:anchorId="49CD68B8" wp14:editId="6B22B751">
                <wp:simplePos x="0" y="0"/>
                <wp:positionH relativeFrom="column">
                  <wp:posOffset>3821201</wp:posOffset>
                </wp:positionH>
                <wp:positionV relativeFrom="paragraph">
                  <wp:posOffset>154513</wp:posOffset>
                </wp:positionV>
                <wp:extent cx="1357630" cy="448310"/>
                <wp:effectExtent l="0" t="0" r="0" b="0"/>
                <wp:wrapNone/>
                <wp:docPr id="11" name="TextBox 16"/>
                <wp:cNvGraphicFramePr/>
                <a:graphic xmlns:a="http://schemas.openxmlformats.org/drawingml/2006/main">
                  <a:graphicData uri="http://schemas.microsoft.com/office/word/2010/wordprocessingShape">
                    <wps:wsp>
                      <wps:cNvSpPr txBox="1"/>
                      <wps:spPr>
                        <a:xfrm>
                          <a:off x="0" y="0"/>
                          <a:ext cx="1357630" cy="448310"/>
                        </a:xfrm>
                        <a:prstGeom prst="rect">
                          <a:avLst/>
                        </a:prstGeom>
                        <a:noFill/>
                      </wps:spPr>
                      <wps:txbx>
                        <w:txbxContent>
                          <w:p w14:paraId="7777359A" w14:textId="77777777" w:rsidR="000A24BD" w:rsidRDefault="000A24BD" w:rsidP="000A24BD">
                            <w:pPr>
                              <w:pStyle w:val="NormalWeb"/>
                              <w:spacing w:before="0" w:beforeAutospacing="0" w:after="60" w:afterAutospacing="0" w:line="216" w:lineRule="auto"/>
                            </w:pPr>
                            <w:r>
                              <w:rPr>
                                <w:rFonts w:ascii="Calibre Semibold" w:hAnsi="Calibre Semibold" w:cstheme="minorBidi"/>
                                <w:color w:val="404040" w:themeColor="text1" w:themeTint="BF"/>
                                <w:kern w:val="24"/>
                              </w:rPr>
                              <w:t xml:space="preserve">PDSCH </w:t>
                            </w:r>
                            <m:oMath>
                              <m:r>
                                <w:rPr>
                                  <w:rFonts w:ascii="Cambria Math" w:hAnsi="Cambria Math" w:cstheme="minorBidi"/>
                                  <w:color w:val="404040" w:themeColor="text1" w:themeTint="BF"/>
                                  <w:kern w:val="24"/>
                                </w:rPr>
                                <m:t>n</m:t>
                              </m:r>
                            </m:oMath>
                            <w:r>
                              <w:rPr>
                                <w:rFonts w:ascii="Calibre Semibold" w:hAnsi="Calibre Semibold" w:cstheme="minorBidi"/>
                                <w:color w:val="404040" w:themeColor="text1" w:themeTint="BF"/>
                                <w:kern w:val="24"/>
                              </w:rPr>
                              <w:t xml:space="preserve"> is being processed.</w:t>
                            </w:r>
                          </w:p>
                        </w:txbxContent>
                      </wps:txbx>
                      <wps:bodyPr wrap="square" rtlCol="0">
                        <a:spAutoFit/>
                      </wps:bodyPr>
                    </wps:wsp>
                  </a:graphicData>
                </a:graphic>
              </wp:anchor>
            </w:drawing>
          </mc:Choice>
          <mc:Fallback>
            <w:pict>
              <v:shape w14:anchorId="49CD68B8" id="TextBox 16" o:spid="_x0000_s1035" type="#_x0000_t202" style="position:absolute;left:0;text-align:left;margin-left:300.9pt;margin-top:12.15pt;width:106.9pt;height:35.3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wNEmQEAABYDAAAOAAAAZHJzL2Uyb0RvYy54bWysUstu2zAQvBfoPxC817LixE0Fy0HbILkU&#10;bYGkH0BTpEVA5LK7tCX/fZb0I0F7K3rhY3c5OzPL1d3kB7E3SA5CK+vZXAoTNHQubFv56/nhw60U&#10;lFTo1ADBtPJgSN6t379bjbExV9DD0BkUDBKoGWMr+5RiU1Wke+MVzSCawEkL6FXiK26rDtXI6H6o&#10;rubzZTUCdhFBGyKO3h+Tcl3wrTU6/bCWTBJDK5lbKiuWdZPXar1SzRZV7J0+0VD/wMIrF7jpBepe&#10;JSV26P6C8k4jENg00+ArsNZpUzSwmnr+h5qnXkVTtLA5FC820f+D1d/3P1G4jmdXSxGU5xk9myl9&#10;gUnUy2zPGKnhqqfIdWniOJee48TBrHqy6PPOegTn2ejDxVwGEzo/Wtx8XC44pTl3fX27qIv71evr&#10;iJQeDXiRD61EHl7xVO2/UWImXHouyc0CPLhhyPFM8Ugln9K0mYqiT2eaG+gOzH7kMbeSfu8UGikw&#10;DV+h/IoMRvHzLjFg6ZNRjm9O4Gx+aX/6KHm6b++l6vU7r18AAAD//wMAUEsDBBQABgAIAAAAIQC+&#10;ha6r3gAAAAkBAAAPAAAAZHJzL2Rvd25yZXYueG1sTI/NTsMwEITvSLyDtUjcqJ3SRm3Ipqr4kThw&#10;oYS7Gy9xRLyOYrdJ3x5zguNoRjPflLvZ9eJMY+g8I2QLBYK48abjFqH+eLnbgAhRs9G9Z0K4UIBd&#10;dX1V6sL4id/pfIitSCUcCo1gYxwKKUNjyemw8ANx8r786HRMcmylGfWUyl0vl0rl0umO04LVAz1a&#10;ar4PJ4cQo9lnl/rZhdfP+e1psqpZ6xrx9mbeP4CINMe/MPziJ3SoEtPRn9gE0SPkKkvoEWG5ugeR&#10;AptsnYM4ImxXW5BVKf8/qH4AAAD//wMAUEsBAi0AFAAGAAgAAAAhALaDOJL+AAAA4QEAABMAAAAA&#10;AAAAAAAAAAAAAAAAAFtDb250ZW50X1R5cGVzXS54bWxQSwECLQAUAAYACAAAACEAOP0h/9YAAACU&#10;AQAACwAAAAAAAAAAAAAAAAAvAQAAX3JlbHMvLnJlbHNQSwECLQAUAAYACAAAACEAJ1MDRJkBAAAW&#10;AwAADgAAAAAAAAAAAAAAAAAuAgAAZHJzL2Uyb0RvYy54bWxQSwECLQAUAAYACAAAACEAvoWuq94A&#10;AAAJAQAADwAAAAAAAAAAAAAAAADzAwAAZHJzL2Rvd25yZXYueG1sUEsFBgAAAAAEAAQA8wAAAP4E&#10;AAAAAA==&#10;" filled="f" stroked="f">
                <v:textbox style="mso-fit-shape-to-text:t">
                  <w:txbxContent>
                    <w:p w14:paraId="7777359A" w14:textId="77777777" w:rsidR="000A24BD" w:rsidRDefault="000A24BD" w:rsidP="000A24BD">
                      <w:pPr>
                        <w:pStyle w:val="NormalWeb"/>
                        <w:spacing w:before="0" w:beforeAutospacing="0" w:after="60" w:afterAutospacing="0" w:line="216" w:lineRule="auto"/>
                      </w:pPr>
                      <w:r>
                        <w:rPr>
                          <w:rFonts w:ascii="Calibre Semibold" w:hAnsi="Calibre Semibold" w:cstheme="minorBidi"/>
                          <w:color w:val="404040" w:themeColor="text1" w:themeTint="BF"/>
                          <w:kern w:val="24"/>
                        </w:rPr>
                        <w:t xml:space="preserve">PDSCH </w:t>
                      </w:r>
                      <m:oMath>
                        <m:r>
                          <w:rPr>
                            <w:rFonts w:ascii="Cambria Math" w:hAnsi="Cambria Math" w:cstheme="minorBidi"/>
                            <w:color w:val="404040" w:themeColor="text1" w:themeTint="BF"/>
                            <w:kern w:val="24"/>
                          </w:rPr>
                          <m:t>n</m:t>
                        </m:r>
                      </m:oMath>
                      <w:r>
                        <w:rPr>
                          <w:rFonts w:ascii="Calibre Semibold" w:hAnsi="Calibre Semibold" w:cstheme="minorBidi"/>
                          <w:color w:val="404040" w:themeColor="text1" w:themeTint="BF"/>
                          <w:kern w:val="24"/>
                        </w:rPr>
                        <w:t xml:space="preserve"> is being processed.</w:t>
                      </w:r>
                    </w:p>
                  </w:txbxContent>
                </v:textbox>
              </v:shape>
            </w:pict>
          </mc:Fallback>
        </mc:AlternateContent>
      </w:r>
    </w:p>
    <w:p w14:paraId="729D0E5A" w14:textId="77777777" w:rsidR="000A24BD" w:rsidRDefault="000A24BD" w:rsidP="006034B0">
      <w:pPr>
        <w:jc w:val="both"/>
        <w:rPr>
          <w:lang w:val="en-GB"/>
        </w:rPr>
      </w:pPr>
    </w:p>
    <w:p w14:paraId="0E3C8FE7" w14:textId="6B3533C2" w:rsidR="000A24BD" w:rsidRDefault="000A24BD" w:rsidP="006034B0">
      <w:pPr>
        <w:jc w:val="both"/>
        <w:rPr>
          <w:lang w:val="en-GB"/>
        </w:rPr>
      </w:pPr>
    </w:p>
    <w:p w14:paraId="5540E275" w14:textId="55A56804" w:rsidR="000A24BD" w:rsidRDefault="00C468D9" w:rsidP="00755A2F">
      <w:pPr>
        <w:jc w:val="both"/>
        <w:rPr>
          <w:lang w:val="en-GB"/>
        </w:rPr>
      </w:pPr>
      <w:r>
        <w:rPr>
          <w:lang w:val="en-GB"/>
        </w:rPr>
        <w:t xml:space="preserve">When the </w:t>
      </w:r>
      <w:proofErr w:type="spellStart"/>
      <w:r>
        <w:rPr>
          <w:lang w:val="en-GB"/>
        </w:rPr>
        <w:t>sTTI</w:t>
      </w:r>
      <w:proofErr w:type="spellEnd"/>
      <w:r>
        <w:rPr>
          <w:lang w:val="en-GB"/>
        </w:rPr>
        <w:t xml:space="preserve"> operation is allowed, handling the processing of two unicast PDSCHs with different TTI lengths becomes a challen</w:t>
      </w:r>
      <w:r w:rsidR="00B22C6C">
        <w:rPr>
          <w:lang w:val="en-GB"/>
        </w:rPr>
        <w:t xml:space="preserve">ging task. In particular, the </w:t>
      </w:r>
      <w:proofErr w:type="spellStart"/>
      <w:r w:rsidR="00B22C6C">
        <w:rPr>
          <w:lang w:val="en-GB"/>
        </w:rPr>
        <w:t>sTTI</w:t>
      </w:r>
      <w:proofErr w:type="spellEnd"/>
      <w:r w:rsidR="00B22C6C">
        <w:rPr>
          <w:lang w:val="en-GB"/>
        </w:rPr>
        <w:t xml:space="preserve"> operation has a tight turnaround time; the </w:t>
      </w:r>
      <w:proofErr w:type="spellStart"/>
      <w:r w:rsidR="00B22C6C">
        <w:rPr>
          <w:lang w:val="en-GB"/>
        </w:rPr>
        <w:t>sPDSCH</w:t>
      </w:r>
      <w:proofErr w:type="spellEnd"/>
      <w:r w:rsidR="00B22C6C">
        <w:rPr>
          <w:lang w:val="en-GB"/>
        </w:rPr>
        <w:t xml:space="preserve"> processing should be started as soon as possible, and cannot be</w:t>
      </w:r>
      <w:r w:rsidR="00B55105">
        <w:rPr>
          <w:lang w:val="en-GB"/>
        </w:rPr>
        <w:t xml:space="preserve"> pipelined similar to the 1ms PDSCHs</w:t>
      </w:r>
      <w:r w:rsidR="00B22C6C">
        <w:rPr>
          <w:lang w:val="en-GB"/>
        </w:rPr>
        <w:t xml:space="preserve">. </w:t>
      </w:r>
      <w:r w:rsidR="00F114EF">
        <w:rPr>
          <w:lang w:val="en-GB"/>
        </w:rPr>
        <w:t>An illustrative example</w:t>
      </w:r>
      <w:r w:rsidR="000A24BD">
        <w:rPr>
          <w:lang w:val="en-GB"/>
        </w:rPr>
        <w:t xml:space="preserve"> is shown in the </w:t>
      </w:r>
      <w:r w:rsidR="00F114EF">
        <w:rPr>
          <w:lang w:val="en-GB"/>
        </w:rPr>
        <w:t xml:space="preserve">figure </w:t>
      </w:r>
      <w:r w:rsidR="000A24BD">
        <w:rPr>
          <w:lang w:val="en-GB"/>
        </w:rPr>
        <w:t xml:space="preserve">below for a UE that is capable of decoding both PDSCH and </w:t>
      </w:r>
      <w:proofErr w:type="spellStart"/>
      <w:r w:rsidR="000A24BD">
        <w:rPr>
          <w:lang w:val="en-GB"/>
        </w:rPr>
        <w:t>sPDSCH</w:t>
      </w:r>
      <w:proofErr w:type="spellEnd"/>
      <w:r w:rsidR="000A24BD">
        <w:rPr>
          <w:lang w:val="en-GB"/>
        </w:rPr>
        <w:t xml:space="preserve"> in the same </w:t>
      </w:r>
      <w:proofErr w:type="spellStart"/>
      <w:r w:rsidR="000A24BD">
        <w:rPr>
          <w:lang w:val="en-GB"/>
        </w:rPr>
        <w:t>subframe</w:t>
      </w:r>
      <w:proofErr w:type="spellEnd"/>
      <w:r w:rsidR="000A24BD">
        <w:rPr>
          <w:lang w:val="en-GB"/>
        </w:rPr>
        <w:t xml:space="preserve"> and over the same cell.</w:t>
      </w:r>
    </w:p>
    <w:p w14:paraId="6E219AA1" w14:textId="27DAA06A" w:rsidR="000A24BD" w:rsidRDefault="000A24BD" w:rsidP="00755A2F">
      <w:pPr>
        <w:jc w:val="both"/>
        <w:rPr>
          <w:lang w:val="en-GB"/>
        </w:rPr>
      </w:pPr>
    </w:p>
    <w:p w14:paraId="35CC830C" w14:textId="0948BB88" w:rsidR="000A24BD" w:rsidRDefault="000A24BD" w:rsidP="00755A2F">
      <w:pPr>
        <w:jc w:val="both"/>
        <w:rPr>
          <w:lang w:val="en-GB"/>
        </w:rPr>
      </w:pPr>
      <w:r w:rsidRPr="000A24BD">
        <w:rPr>
          <w:noProof/>
        </w:rPr>
        <mc:AlternateContent>
          <mc:Choice Requires="wpg">
            <w:drawing>
              <wp:anchor distT="0" distB="0" distL="114300" distR="114300" simplePos="0" relativeHeight="251664896" behindDoc="0" locked="0" layoutInCell="1" allowOverlap="1" wp14:anchorId="10E26854" wp14:editId="3E7E08C1">
                <wp:simplePos x="0" y="0"/>
                <wp:positionH relativeFrom="margin">
                  <wp:align>center</wp:align>
                </wp:positionH>
                <wp:positionV relativeFrom="paragraph">
                  <wp:posOffset>8255</wp:posOffset>
                </wp:positionV>
                <wp:extent cx="4635658" cy="1933432"/>
                <wp:effectExtent l="0" t="0" r="12700" b="29210"/>
                <wp:wrapNone/>
                <wp:docPr id="1" name="Group 3"/>
                <wp:cNvGraphicFramePr/>
                <a:graphic xmlns:a="http://schemas.openxmlformats.org/drawingml/2006/main">
                  <a:graphicData uri="http://schemas.microsoft.com/office/word/2010/wordprocessingGroup">
                    <wpg:wgp>
                      <wpg:cNvGrpSpPr/>
                      <wpg:grpSpPr>
                        <a:xfrm>
                          <a:off x="0" y="0"/>
                          <a:ext cx="4635658" cy="1933432"/>
                          <a:chOff x="0" y="0"/>
                          <a:chExt cx="4635658" cy="1933432"/>
                        </a:xfrm>
                      </wpg:grpSpPr>
                      <wps:wsp>
                        <wps:cNvPr id="16" name="Rectangle 16"/>
                        <wps:cNvSpPr/>
                        <wps:spPr bwMode="auto">
                          <a:xfrm>
                            <a:off x="0" y="445027"/>
                            <a:ext cx="802257" cy="298223"/>
                          </a:xfrm>
                          <a:prstGeom prst="rect">
                            <a:avLst/>
                          </a:prstGeom>
                          <a:solidFill>
                            <a:srgbClr val="C00000"/>
                          </a:solidFill>
                          <a:ln w="25400">
                            <a:solidFill>
                              <a:schemeClr val="tx1"/>
                            </a:solidFill>
                          </a:ln>
                          <a:extLst/>
                        </wps:spPr>
                        <wps:txbx>
                          <w:txbxContent>
                            <w:p w14:paraId="750AF6D3"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n-2</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Rectangle 17"/>
                        <wps:cNvSpPr/>
                        <wps:spPr bwMode="auto">
                          <a:xfrm>
                            <a:off x="796246" y="443917"/>
                            <a:ext cx="802257" cy="298223"/>
                          </a:xfrm>
                          <a:prstGeom prst="rect">
                            <a:avLst/>
                          </a:prstGeom>
                          <a:solidFill>
                            <a:srgbClr val="92D050"/>
                          </a:solidFill>
                          <a:ln w="25400">
                            <a:solidFill>
                              <a:schemeClr val="tx1"/>
                            </a:solidFill>
                          </a:ln>
                          <a:extLst/>
                        </wps:spPr>
                        <wps:txbx>
                          <w:txbxContent>
                            <w:p w14:paraId="2132ADC1"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n-1</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Rectangle 18"/>
                        <wps:cNvSpPr/>
                        <wps:spPr bwMode="auto">
                          <a:xfrm>
                            <a:off x="1596616" y="445295"/>
                            <a:ext cx="802257" cy="298223"/>
                          </a:xfrm>
                          <a:prstGeom prst="rect">
                            <a:avLst/>
                          </a:prstGeom>
                          <a:solidFill>
                            <a:schemeClr val="bg2"/>
                          </a:solidFill>
                          <a:ln w="25400">
                            <a:solidFill>
                              <a:schemeClr val="tx2">
                                <a:lumMod val="75000"/>
                              </a:schemeClr>
                            </a:solidFill>
                          </a:ln>
                          <a:extLst/>
                        </wps:spPr>
                        <wps:txbx>
                          <w:txbxContent>
                            <w:p w14:paraId="396F7034"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TextBox 9"/>
                        <wps:cNvSpPr txBox="1"/>
                        <wps:spPr>
                          <a:xfrm>
                            <a:off x="777600" y="64585"/>
                            <a:ext cx="875665" cy="287020"/>
                          </a:xfrm>
                          <a:prstGeom prst="rect">
                            <a:avLst/>
                          </a:prstGeom>
                          <a:noFill/>
                        </wps:spPr>
                        <wps:txbx>
                          <w:txbxContent>
                            <w:p w14:paraId="6D8BD9FF" w14:textId="77777777" w:rsidR="000A24BD" w:rsidRDefault="000A24BD" w:rsidP="000A24BD">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PDSCH</w:t>
                              </w:r>
                            </w:p>
                          </w:txbxContent>
                        </wps:txbx>
                        <wps:bodyPr wrap="square" rtlCol="0">
                          <a:spAutoFit/>
                        </wps:bodyPr>
                      </wps:wsp>
                      <wps:wsp>
                        <wps:cNvPr id="20" name="TextBox 10"/>
                        <wps:cNvSpPr txBox="1"/>
                        <wps:spPr>
                          <a:xfrm>
                            <a:off x="640669" y="1181860"/>
                            <a:ext cx="1357630" cy="445135"/>
                          </a:xfrm>
                          <a:prstGeom prst="rect">
                            <a:avLst/>
                          </a:prstGeom>
                          <a:noFill/>
                        </wps:spPr>
                        <wps:txbx>
                          <w:txbxContent>
                            <w:p w14:paraId="3B6472AE" w14:textId="77777777" w:rsidR="000A24BD" w:rsidRDefault="000A24BD" w:rsidP="000A24BD">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 xml:space="preserve">Processing window </w:t>
                              </w:r>
                            </w:p>
                          </w:txbxContent>
                        </wps:txbx>
                        <wps:bodyPr wrap="square" rtlCol="0">
                          <a:spAutoFit/>
                        </wps:bodyPr>
                      </wps:wsp>
                      <wps:wsp>
                        <wps:cNvPr id="21" name="Rectangle 21"/>
                        <wps:cNvSpPr/>
                        <wps:spPr bwMode="auto">
                          <a:xfrm>
                            <a:off x="2405554" y="1212398"/>
                            <a:ext cx="709008" cy="298223"/>
                          </a:xfrm>
                          <a:prstGeom prst="rect">
                            <a:avLst/>
                          </a:prstGeom>
                          <a:solidFill>
                            <a:srgbClr val="C00000"/>
                          </a:solidFill>
                          <a:ln w="25400">
                            <a:solidFill>
                              <a:schemeClr val="tx1"/>
                            </a:solidFill>
                          </a:ln>
                          <a:extLst/>
                        </wps:spPr>
                        <wps:txbx>
                          <w:txbxContent>
                            <w:p w14:paraId="1845B570"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n-2</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Rectangle 22"/>
                        <wps:cNvSpPr/>
                        <wps:spPr bwMode="auto">
                          <a:xfrm>
                            <a:off x="3114674" y="1212707"/>
                            <a:ext cx="703121" cy="298223"/>
                          </a:xfrm>
                          <a:prstGeom prst="rect">
                            <a:avLst/>
                          </a:prstGeom>
                          <a:solidFill>
                            <a:srgbClr val="92D050"/>
                          </a:solidFill>
                          <a:ln w="25400">
                            <a:solidFill>
                              <a:schemeClr val="tx1"/>
                            </a:solidFill>
                          </a:ln>
                          <a:extLst/>
                        </wps:spPr>
                        <wps:txbx>
                          <w:txbxContent>
                            <w:p w14:paraId="69AC3677"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n-1</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Rectangle 23"/>
                        <wps:cNvSpPr/>
                        <wps:spPr bwMode="auto">
                          <a:xfrm>
                            <a:off x="3817926" y="1213015"/>
                            <a:ext cx="814383" cy="298223"/>
                          </a:xfrm>
                          <a:prstGeom prst="rect">
                            <a:avLst/>
                          </a:prstGeom>
                          <a:solidFill>
                            <a:schemeClr val="bg2"/>
                          </a:solidFill>
                          <a:ln w="25400">
                            <a:solidFill>
                              <a:schemeClr val="tx2">
                                <a:lumMod val="75000"/>
                              </a:schemeClr>
                            </a:solidFill>
                          </a:ln>
                          <a:extLst/>
                        </wps:spPr>
                        <wps:txbx>
                          <w:txbxContent>
                            <w:p w14:paraId="6C8237D5"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Straight Connector 25"/>
                        <wps:cNvCnPr/>
                        <wps:spPr>
                          <a:xfrm flipH="1">
                            <a:off x="2405635" y="64595"/>
                            <a:ext cx="1" cy="1868837"/>
                          </a:xfrm>
                          <a:prstGeom prst="line">
                            <a:avLst/>
                          </a:prstGeom>
                          <a:ln w="6350">
                            <a:gradFill flip="none" rotWithShape="1">
                              <a:gsLst>
                                <a:gs pos="0">
                                  <a:srgbClr val="143C66"/>
                                </a:gs>
                                <a:gs pos="100000">
                                  <a:srgbClr val="008080"/>
                                </a:gs>
                              </a:gsLst>
                              <a:lin ang="0" scaled="1"/>
                              <a:tileRect/>
                            </a:gradFill>
                            <a:prstDash val="dash"/>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wps:spPr>
                          <a:xfrm flipH="1">
                            <a:off x="4635657" y="0"/>
                            <a:ext cx="1" cy="1868837"/>
                          </a:xfrm>
                          <a:prstGeom prst="line">
                            <a:avLst/>
                          </a:prstGeom>
                          <a:ln w="6350">
                            <a:gradFill flip="none" rotWithShape="1">
                              <a:gsLst>
                                <a:gs pos="0">
                                  <a:srgbClr val="143C66"/>
                                </a:gs>
                                <a:gs pos="100000">
                                  <a:srgbClr val="008080"/>
                                </a:gs>
                              </a:gsLst>
                              <a:lin ang="0" scaled="1"/>
                              <a:tileRect/>
                            </a:gradFill>
                            <a:prstDash val="dash"/>
                          </a:ln>
                        </wps:spPr>
                        <wps:style>
                          <a:lnRef idx="1">
                            <a:schemeClr val="accent1"/>
                          </a:lnRef>
                          <a:fillRef idx="0">
                            <a:schemeClr val="accent1"/>
                          </a:fillRef>
                          <a:effectRef idx="0">
                            <a:schemeClr val="accent1"/>
                          </a:effectRef>
                          <a:fontRef idx="minor">
                            <a:schemeClr val="tx1"/>
                          </a:fontRef>
                        </wps:style>
                        <wps:bodyPr/>
                      </wps:wsp>
                      <wps:wsp>
                        <wps:cNvPr id="28" name="Rectangle 28"/>
                        <wps:cNvSpPr/>
                        <wps:spPr bwMode="auto">
                          <a:xfrm>
                            <a:off x="1777998" y="91572"/>
                            <a:ext cx="393706" cy="270378"/>
                          </a:xfrm>
                          <a:prstGeom prst="rect">
                            <a:avLst/>
                          </a:prstGeom>
                          <a:noFill/>
                          <a:ln w="25400">
                            <a:solidFill>
                              <a:schemeClr val="tx1"/>
                            </a:solidFill>
                          </a:ln>
                          <a:extLst/>
                        </wps:spPr>
                        <wps:txbx>
                          <w:txbxContent>
                            <w:p w14:paraId="7540E269"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18"/>
                                      <w:szCs w:val="18"/>
                                    </w:rPr>
                                    <m:t>sTTI</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Rectangle 29"/>
                        <wps:cNvSpPr/>
                        <wps:spPr bwMode="auto">
                          <a:xfrm>
                            <a:off x="2975431" y="767465"/>
                            <a:ext cx="486678" cy="298223"/>
                          </a:xfrm>
                          <a:prstGeom prst="rect">
                            <a:avLst/>
                          </a:prstGeom>
                          <a:noFill/>
                          <a:ln w="25400">
                            <a:solidFill>
                              <a:schemeClr val="tx1"/>
                            </a:solidFill>
                          </a:ln>
                          <a:extLst/>
                        </wps:spPr>
                        <wps:txbx>
                          <w:txbxContent>
                            <w:p w14:paraId="4CBF6BC5"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18"/>
                                      <w:szCs w:val="18"/>
                                    </w:rPr>
                                    <m:t>sTTI</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Oval 30"/>
                        <wps:cNvSpPr/>
                        <wps:spPr bwMode="auto">
                          <a:xfrm>
                            <a:off x="2875107" y="443917"/>
                            <a:ext cx="712450" cy="1214168"/>
                          </a:xfrm>
                          <a:prstGeom prst="ellipse">
                            <a:avLst/>
                          </a:prstGeom>
                          <a:noFill/>
                          <a:ln>
                            <a:solidFill>
                              <a:schemeClr val="tx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0E26854" id="Group 3" o:spid="_x0000_s1036" style="position:absolute;left:0;text-align:left;margin-left:0;margin-top:.65pt;width:365pt;height:152.25pt;z-index:251664896;mso-position-horizontal:center;mso-position-horizontal-relative:margin;mso-width-relative:margin;mso-height-relative:margin" coordsize="46356,19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zSDVwYAAFUnAAAOAAAAZHJzL2Uyb0RvYy54bWzsWttu20YQfS/QfyD43oj3ixA5cOU6LZAm&#10;QZwizyuKlAhQXHZ3bcn9+p7ZJambY8dyEiutEkDmZa8zc2bOzPLlq9Wism5yIUtej2z3hWNbeZ3x&#10;aVnPRvZfHy9/SWxLKlZPWcXrfGTf5tJ+dfbzTy+XzTD3+JxX01xYGKSWw2UzsudKNcPBQGbzfMHk&#10;C97kNV4WXCyYwq2YDaaCLTH6ohp4jhMNllxMG8GzXEo8vTAv7TM9flHkmXpXFDJXVjWysTalf4X+&#10;ndDv4OwlG84Ea+Zl1i6DHbCKBStrTNoPdcEUs65FuTfUoswEl7xQLzK+GPCiKLNc7wG7cZ2d3bwW&#10;/LrRe5kNl7OmFxNEuyOng4fN3t68F1Y5he5sq2YLqEjPavkkmmUzG6LFa9FcNe9F+2Bm7mi3q0Is&#10;6C/2Ya20UG97oeYrZWV4GER+GIUwgwzv3NT3A98zYs/m0M1ev2z+2wM9B93EA1pfv5xlAxOSaynJ&#10;p0npas6aXAtfkgw6KUWdmD7Atlg9q3LLjYysdLteUHIoITNrsvyTTyFVdq24tpA7ZRYEoePFRiyd&#10;4BLH88LYyM1LE8/TKuk3z4aNkOp1zhcWXYxsgQXpGdjNG6mgLDTtmpCSJK/K6WVZVfpGzCbjSlg3&#10;DMAYO/SPZkeXrWZVbS1HthcGeL0/BoE070dRK3d/CAxY1dQTu2pXRXoi0ZB5yaFaTVbG/vQC6NGE&#10;T28hOcENWmWTXZbY4Rsm1XsmAE8AGS4Hb+dc/GNbS8B3ZMu/r5nIbav6o4bmUzcICO/6JghjDzdi&#10;881k8019vRhzCAIYwGz6ktqrqrssBF98gqc5p1nxitUZ5h7ZqrscK+NU4Kmy/PxcNwLCG6be1FdN&#10;RkOTFEgfH1efmGhapSnI5S3vbI0Nd3Rn2lLPmp/DgopSK3YtJaiMbmD3RpzfHgCwSOMnNgCgLZfW&#10;AaA8FgBxGnkBUAXvEAR+6j4bClLvwgmfHQUaQ2v9nlDQI+aoUIB4toeC5AlhwA3TKEIgMTAIvTT8&#10;nsFg25FPZjpAPy0WeNrfVdcLhD8TZeJwI8h0M+6GnEfEC73IE1K2Yv0Rxou0Q8pHhLpf+cpKd2Bi&#10;qRUeU4TUBLMjBx3J69llHMcRaAghJArCZBcgcRhFYcuWkthBwDd8puNbHRX6QrZUc6JKNASZ2F18&#10;pWXIPV/ZpiFr8kB+SzYUvS+fPXoTDTJ+q9OG29OuNnZ/qTqiwIkiKJdYvZu4SaQH0kRP837XD+PI&#10;x3zE+8Fvcf+tNRJ0FtQyyB9CI33eteZTXg+FA/iUFzhhGAZGMZ7r+amOS2vFxE7qOG0+9n/IK7TZ&#10;neLEkccJz+s80wYO+hB/AA581w2ieI2D2NnJLGLHd4E07Z++LQ6OI7PoqxSn/FqzznUufkyZBao8&#10;e5mFqfyQCzsEB4kbp57JLGDvvuPuMic38BPMSnH66+OgI/omB/hBUou+nnGCyjFDBXTfkNkrJVg5&#10;mytrzOsaZVAuLK8P+8DMuG6r1x2TN8mFVVRl83tXm2uL2MSfULLu8ozdRLwNGOC7SeJrO0HK+pkc&#10;oyprqiDvVfWoaEuPTXUVk5niKo4hdH1WL2tk1zgwQRGSq0+lmusKYbfSmUQwpwFm0mo4qp1tcXaz&#10;pgtQjyPt8rG+mdxs7ZpyLz2Sm13ACvG/JenURfdsp8JeUPXEyQMYvcxYlU/bjI0NVVnlFLRNvtXt&#10;goYnF3vB5NyAf4qrdnSqCe8kVlLdVjl1quoPeYGSsE4J9SK3fQjLsrxWXa1Zt6ZWBdK1vmMrkPs6&#10;tu2pa64Pih7Tue+hZ+a16jsvypoLrXR9hnVXebww7TsJmH2vCWqXc36/mi5OHu4BUu8MHwkkc/CD&#10;oRFXdnNDE21OIDqBiJDz3wDRHSVh70klYRS8UiTvhJ/UxREW+c51Gu+nfuyA1mnahlwm1nN9PhiJ&#10;B44H+4JXF5e+z6lfL6ET1TpmqtVXcTey891CLsyzq5U+eOztpXEY+CBTMO4YaTpKt1vWHSRRBIv+&#10;aknJM1l3L6KTdR+xdVOV2iQS7/A9hIXb1pQPSLe9JA5dlJrIsO86z45dD996tPzHcwM3esBv5xWS&#10;FHlvHrFl3BQjtr7h+CwP3WiFsHH/Zxon+z3MfvUnSvh2S/dGakTfmdHHYZv3uN78Gu7sXwAAAP//&#10;AwBQSwMEFAAGAAgAAAAhAEeRd2jdAAAABgEAAA8AAABkcnMvZG93bnJldi54bWxMj8FqwzAQRO+F&#10;/oPYQG+N5Jq0wbEcQmh7CoUmhdKbYm1sE2tlLMV2/r7bU3OcnWXmTb6eXCsG7EPjSUMyVyCQSm8b&#10;qjR8Hd4elyBCNGRN6wk1XDHAuri/y01m/UifOOxjJTiEQmY01DF2mZShrNGZMPcdEnsn3zsTWfaV&#10;tL0ZOdy18kmpZ+lMQ9xQmw63NZbn/cVpeB/NuEmT12F3Pm2vP4fFx/cuQa0fZtNmBSLiFP+f4Q+f&#10;0aFgpqO/kA2i1cBDIl9TEGy+pIr1UUOqFkuQRS5v8YtfAAAA//8DAFBLAQItABQABgAIAAAAIQC2&#10;gziS/gAAAOEBAAATAAAAAAAAAAAAAAAAAAAAAABbQ29udGVudF9UeXBlc10ueG1sUEsBAi0AFAAG&#10;AAgAAAAhADj9If/WAAAAlAEAAAsAAAAAAAAAAAAAAAAALwEAAF9yZWxzLy5yZWxzUEsBAi0AFAAG&#10;AAgAAAAhAMW3NINXBgAAVScAAA4AAAAAAAAAAAAAAAAALgIAAGRycy9lMm9Eb2MueG1sUEsBAi0A&#10;FAAGAAgAAAAhAEeRd2jdAAAABgEAAA8AAAAAAAAAAAAAAAAAsQgAAGRycy9kb3ducmV2LnhtbFBL&#10;BQYAAAAABAAEAPMAAAC7CQAAAAA=&#10;">
                <v:rect id="Rectangle 16" o:spid="_x0000_s1037" style="position:absolute;top:4450;width:8022;height:2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ilcEA&#10;AADbAAAADwAAAGRycy9kb3ducmV2LnhtbERP3WrCMBS+H+wdwhG8GZoqo4xqFDdQKoPB3B7g0Bzb&#10;YHNSmqxN394MBrs7H9/v2e6jbcVAvTeOFayWGQjiymnDtYLvr+PiBYQPyBpbx6RgIg/73ePDFgvt&#10;Rv6k4RJqkULYF6igCaErpPRVQxb90nXEibu63mJIsK+l7nFM4baV6yzLpUXDqaHBjt4aqm6XH6vg&#10;eTqdq1V4d+2r8aaM8cnp4UOp+SweNiACxfAv/nOXOs3P4feXdIDc3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zIpXBAAAA2wAAAA8AAAAAAAAAAAAAAAAAmAIAAGRycy9kb3du&#10;cmV2LnhtbFBLBQYAAAAABAAEAPUAAACGAwAAAAA=&#10;" fillcolor="#c00000" strokecolor="black [3213]" strokeweight="2pt">
                  <v:textbox>
                    <w:txbxContent>
                      <w:p w14:paraId="750AF6D3"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n-2</m:t>
                            </m:r>
                          </m:oMath>
                        </m:oMathPara>
                      </w:p>
                    </w:txbxContent>
                  </v:textbox>
                </v:rect>
                <v:rect id="Rectangle 17" o:spid="_x0000_s1038" style="position:absolute;left:7962;top:4439;width:8023;height:2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cHU8EA&#10;AADbAAAADwAAAGRycy9kb3ducmV2LnhtbERPS2vCQBC+C/6HZQrezKaKtqSuoqUPwZNpoR6H7DQJ&#10;zc6E7Krx33cFwdt8fM9ZrHrXqBN1vhY28JikoIgLsTWXBr6/3sfPoHxAttgIk4ELeVgth4MFZlbO&#10;vKdTHkoVQ9hnaKAKoc209kVFDn0iLXHkfqVzGCLsSm07PMdw1+hJms61w5pjQ4UtvVZU/OVHZ8BJ&#10;8zObbPAj/5TpbsqHw5ust8aMHvr1C6hAfbiLb+6tjfOf4PpLPEA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9HB1PBAAAA2wAAAA8AAAAAAAAAAAAAAAAAmAIAAGRycy9kb3du&#10;cmV2LnhtbFBLBQYAAAAABAAEAPUAAACGAwAAAAA=&#10;" fillcolor="#92d050" strokecolor="black [3213]" strokeweight="2pt">
                  <v:textbox>
                    <w:txbxContent>
                      <w:p w14:paraId="2132ADC1"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n-1</m:t>
                            </m:r>
                          </m:oMath>
                        </m:oMathPara>
                      </w:p>
                    </w:txbxContent>
                  </v:textbox>
                </v:rect>
                <v:rect id="Rectangle 18" o:spid="_x0000_s1039" style="position:absolute;left:15966;top:4452;width:8022;height:2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Hf68EA&#10;AADbAAAADwAAAGRycy9kb3ducmV2LnhtbESPQW/CMAyF70j7D5En7QbpOAzoCNU0iYJ2A8bda7y2&#10;WuNUTaDh388HJG623vN7n9dFcp260hBazwZeZxko4srblmsD36ftdAkqRGSLnWcycKMAxeZpssbc&#10;+pEPdD3GWkkIhxwNNDH2udahashhmPmeWLRfPziMsg61tgOOEu46Pc+yN+2wZWlosKfPhqq/48UZ&#10;SF8rXpTO72ydVqMtF+fzT+yMeXlOH++gIqX4MN+v91bwBVZ+kQH05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x3+vBAAAA2wAAAA8AAAAAAAAAAAAAAAAAmAIAAGRycy9kb3du&#10;cmV2LnhtbFBLBQYAAAAABAAEAPUAAACGAwAAAAA=&#10;" fillcolor="#e7e6e6 [3214]" strokecolor="#323e4f [2415]" strokeweight="2pt">
                  <v:textbox>
                    <w:txbxContent>
                      <w:p w14:paraId="396F7034"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m:t>
                            </m:r>
                          </m:oMath>
                        </m:oMathPara>
                      </w:p>
                    </w:txbxContent>
                  </v:textbox>
                </v:rect>
                <v:shape id="_x0000_s1040" type="#_x0000_t202" style="position:absolute;left:7776;top:645;width:8756;height:28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nOpb8A&#10;AADbAAAADwAAAGRycy9kb3ducmV2LnhtbERPS2vCQBC+F/wPywje6saCpY2uIj7AQy+18T5kx2ww&#10;OxuyUxP/vSsUepuP7znL9eAbdaMu1oENzKYZKOIy2JorA8XP4fUDVBRki01gMnCnCOvV6GWJuQ09&#10;f9PtJJVKIRxzNOBE2lzrWDryGKehJU7cJXQeJcGu0rbDPoX7Rr9l2bv2WHNqcNjS1lF5Pf16AyJ2&#10;M7sXex+P5+Fr17usnGNhzGQ8bBaghAb5F/+5jzbN/4T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uc6lvwAAANsAAAAPAAAAAAAAAAAAAAAAAJgCAABkcnMvZG93bnJl&#10;di54bWxQSwUGAAAAAAQABAD1AAAAhAMAAAAA&#10;" filled="f" stroked="f">
                  <v:textbox style="mso-fit-shape-to-text:t">
                    <w:txbxContent>
                      <w:p w14:paraId="6D8BD9FF" w14:textId="77777777" w:rsidR="000A24BD" w:rsidRDefault="000A24BD" w:rsidP="000A24BD">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PDSCH</w:t>
                        </w:r>
                      </w:p>
                    </w:txbxContent>
                  </v:textbox>
                </v:shape>
                <v:shape id="TextBox 10" o:spid="_x0000_s1041" type="#_x0000_t202" style="position:absolute;left:6406;top:11818;width:13576;height:4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hb0A&#10;AADbAAAADwAAAGRycy9kb3ducmV2LnhtbERPTYvCMBC9C/6HMII3TRVclmoU0V3wsJd1631oxqbY&#10;TEoz2vrvNwfB4+N9b3aDb9SDulgHNrCYZ6CIy2BrrgwUf9+zT1BRkC02gcnAkyLstuPRBnMbev6l&#10;x1kqlUI45mjAibS51rF05DHOQ0ucuGvoPEqCXaVth30K941eZtmH9lhzanDY0sFReTvfvQERu188&#10;iy8fT5fh59i7rFxhYcx0MuzXoIQGeYtf7pM1sEzr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O+thb0AAADbAAAADwAAAAAAAAAAAAAAAACYAgAAZHJzL2Rvd25yZXYu&#10;eG1sUEsFBgAAAAAEAAQA9QAAAIIDAAAAAA==&#10;" filled="f" stroked="f">
                  <v:textbox style="mso-fit-shape-to-text:t">
                    <w:txbxContent>
                      <w:p w14:paraId="3B6472AE" w14:textId="77777777" w:rsidR="000A24BD" w:rsidRDefault="000A24BD" w:rsidP="000A24BD">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 xml:space="preserve">Processing window </w:t>
                        </w:r>
                      </w:p>
                    </w:txbxContent>
                  </v:textbox>
                </v:shape>
                <v:rect id="Rectangle 21" o:spid="_x0000_s1042" style="position:absolute;left:24055;top:12123;width:7090;height:2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wXMMA&#10;AADbAAAADwAAAGRycy9kb3ducmV2LnhtbESPUWvCMBSF3wX/Q7jCXkTTisiopkUHijIQ5vYDLs1d&#10;G9bclCar8d8vg8EeD+ec73B2VbSdGGnwxrGCfJmBIK6dNtwo+Hg/Lp5B+ICssXNMCh7koSqnkx0W&#10;2t35jcZbaESCsC9QQRtCX0jp65Ys+qXriZP36QaLIcmhkXrAe4LbTq6ybCMtGk4LLfb00lL9dfu2&#10;CtaP06XOw6vrDsabc4xzp8erUk+zuN+CCBTDf/ivfdYKVjn8fkk/QJ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ZwXMMAAADbAAAADwAAAAAAAAAAAAAAAACYAgAAZHJzL2Rv&#10;d25yZXYueG1sUEsFBgAAAAAEAAQA9QAAAIgDAAAAAA==&#10;" fillcolor="#c00000" strokecolor="black [3213]" strokeweight="2pt">
                  <v:textbox>
                    <w:txbxContent>
                      <w:p w14:paraId="1845B570"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n-2</m:t>
                            </m:r>
                          </m:oMath>
                        </m:oMathPara>
                      </w:p>
                    </w:txbxContent>
                  </v:textbox>
                </v:rect>
                <v:rect id="Rectangle 22" o:spid="_x0000_s1043" style="position:absolute;left:31146;top:12127;width:7031;height:2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xudsMA&#10;AADbAAAADwAAAGRycy9kb3ducmV2LnhtbESPQWvCQBSE7wX/w/KE3ppNI5YSXUWlVaEn00I9PrLP&#10;JDT7XshuNf57Vyj0OMzMN8x8ObhWnan3jbCB5yQFRVyKbbgy8PX5/vQKygdki60wGbiSh+Vi9DDH&#10;3MqFD3QuQqUihH2OBuoQulxrX9bk0CfSEUfvJL3DEGVfadvjJcJdq7M0fdEOG44LNXa0qan8KX6d&#10;ASft9zRb47bYyeRjwsfjm6z2xjyOh9UMVKAh/If/2ntrIMvg/iX+AL2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xudsMAAADbAAAADwAAAAAAAAAAAAAAAACYAgAAZHJzL2Rv&#10;d25yZXYueG1sUEsFBgAAAAAEAAQA9QAAAIgDAAAAAA==&#10;" fillcolor="#92d050" strokecolor="black [3213]" strokeweight="2pt">
                  <v:textbox>
                    <w:txbxContent>
                      <w:p w14:paraId="69AC3677"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n-1</m:t>
                            </m:r>
                          </m:oMath>
                        </m:oMathPara>
                      </w:p>
                    </w:txbxContent>
                  </v:textbox>
                </v:rect>
                <v:rect id="Rectangle 23" o:spid="_x0000_s1044" style="position:absolute;left:38179;top:12130;width:8144;height:2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mHJ8IA&#10;AADbAAAADwAAAGRycy9kb3ducmV2LnhtbESPQWsCMRSE7wX/Q3iCt5qtgltXo4hQLd5q6/1189xd&#10;unlZknQ3/vtGEHocZuYbZr2NphU9Od9YVvAyzUAQl1Y3XCn4+nx7fgXhA7LG1jIpuJGH7Wb0tMZC&#10;24E/qD+HSiQI+wIV1CF0hZS+rMmgn9qOOHlX6wyGJF0ltcMhwU0rZ1m2kAYbTgs1drSvqfw5/xoF&#10;8bTk/GDsUVdxOehDfrl8h1apyTjuViACxfAffrTftYLZHO5f0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uYcnwgAAANsAAAAPAAAAAAAAAAAAAAAAAJgCAABkcnMvZG93&#10;bnJldi54bWxQSwUGAAAAAAQABAD1AAAAhwMAAAAA&#10;" fillcolor="#e7e6e6 [3214]" strokecolor="#323e4f [2415]" strokeweight="2pt">
                  <v:textbox>
                    <w:txbxContent>
                      <w:p w14:paraId="6C8237D5"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m:t>
                            </m:r>
                          </m:oMath>
                        </m:oMathPara>
                      </w:p>
                    </w:txbxContent>
                  </v:textbox>
                </v:rect>
                <v:line id="Straight Connector 25" o:spid="_x0000_s1045" style="position:absolute;flip:x;visibility:visible;mso-wrap-style:square" from="24056,645" to="24056,19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M8t8EAAADbAAAADwAAAGRycy9kb3ducmV2LnhtbESPQWsCMRSE7wX/Q3hCbzXrgla2RpHS&#10;iletYI+PzesmdPOyJunu9t8bodDjMDPfMOvt6FrRU4jWs4L5rABBXHttuVFw/nh/WoGICVlj65kU&#10;/FKE7WbysMZK+4GP1J9SIzKEY4UKTEpdJWWsDTmMM98RZ+/LB4cpy9BIHXDIcNfKsiiW0qHlvGCw&#10;o1dD9ffpxynwbxe0pT3sn/thFz5diFfDUanH6bh7AZFoTP/hv/ZBKygXcP+Sf4Dc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Uzy3wQAAANsAAAAPAAAAAAAAAAAAAAAA&#10;AKECAABkcnMvZG93bnJldi54bWxQSwUGAAAAAAQABAD5AAAAjwMAAAAA&#10;" strokeweight=".5pt">
                  <v:stroke dashstyle="dash" joinstyle="miter"/>
                </v:line>
                <v:line id="Straight Connector 27" o:spid="_x0000_s1046" style="position:absolute;flip:x;visibility:visible;mso-wrap-style:square" from="46356,0" to="46356,18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0HW8EAAADbAAAADwAAAGRycy9kb3ducmV2LnhtbESPQWsCMRSE7wX/Q3hCbzXbPWhZjSJF&#10;xWtV0ONj87oJ3bysSdzd/vumUOhxmJlvmNVmdK3oKUTrWcHrrABBXHttuVFwOe9f3kDEhKyx9UwK&#10;vinCZj15WmGl/cAf1J9SIzKEY4UKTEpdJWWsDTmMM98RZ+/TB4cpy9BIHXDIcNfKsijm0qHlvGCw&#10;o3dD9dfp4RT43RVtaY+HRT9sw82FeDcclXqejtsliERj+g//tY9aQbmA3y/5B8j1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zQdbwQAAANsAAAAPAAAAAAAAAAAAAAAA&#10;AKECAABkcnMvZG93bnJldi54bWxQSwUGAAAAAAQABAD5AAAAjwMAAAAA&#10;" strokeweight=".5pt">
                  <v:stroke dashstyle="dash" joinstyle="miter"/>
                </v:line>
                <v:rect id="Rectangle 28" o:spid="_x0000_s1047" style="position:absolute;left:17779;top:915;width:3938;height:2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6gi70A&#10;AADbAAAADwAAAGRycy9kb3ducmV2LnhtbERPSwrCMBDdC94hjOBOUxWkVqOIIigi4m8/NGNbbCal&#10;iVpvbxaCy8f7zxaNKcWLaldYVjDoRyCIU6sLzhRcL5teDMJ5ZI2lZVLwIQeLebs1w0TbN5/odfaZ&#10;CCHsElSQe18lUro0J4OubyviwN1tbdAHWGdS1/gO4aaUwygaS4MFh4YcK1rllD7OT6PgOFqnZh9X&#10;o2V8Gx82mT08d36iVLfTLKcgPDX+L/65t1rBMIwNX8IPkPM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356gi70AAADbAAAADwAAAAAAAAAAAAAAAACYAgAAZHJzL2Rvd25yZXYu&#10;eG1sUEsFBgAAAAAEAAQA9QAAAIIDAAAAAA==&#10;" filled="f" strokecolor="black [3213]" strokeweight="2pt">
                  <v:textbox>
                    <w:txbxContent>
                      <w:p w14:paraId="7540E269"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18"/>
                                <w:szCs w:val="18"/>
                              </w:rPr>
                              <m:t>sTTI</m:t>
                            </m:r>
                          </m:oMath>
                        </m:oMathPara>
                      </w:p>
                    </w:txbxContent>
                  </v:textbox>
                </v:rect>
                <v:rect id="Rectangle 29" o:spid="_x0000_s1048" style="position:absolute;left:29754;top:7674;width:4867;height:2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IFEMQA&#10;AADbAAAADwAAAGRycy9kb3ducmV2LnhtbESPS2vDMBCE74H8B7GB3hK5MQTHiWJMS6ClhJLXfbE2&#10;tqm1Mpb86L+vCoUeh5n5htlnk2nEQJ2rLSt4XkUgiAuray4V3K7HZQLCeWSNjWVS8E0OssN8tsdU&#10;25HPNFx8KQKEXYoKKu/bVEpXVGTQrWxLHLyH7Qz6ILtS6g7HADeNXEfRRhqsOSxU2NJLRcXXpTcK&#10;PuPXwnwkbZwn983pWNpT/+63Sj0tpnwHwtPk/8N/7TetYL2F3y/hB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SBRDEAAAA2wAAAA8AAAAAAAAAAAAAAAAAmAIAAGRycy9k&#10;b3ducmV2LnhtbFBLBQYAAAAABAAEAPUAAACJAwAAAAA=&#10;" filled="f" strokecolor="black [3213]" strokeweight="2pt">
                  <v:textbox>
                    <w:txbxContent>
                      <w:p w14:paraId="4CBF6BC5" w14:textId="77777777" w:rsidR="000A24BD" w:rsidRDefault="000A24BD" w:rsidP="000A24BD">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18"/>
                                <w:szCs w:val="18"/>
                              </w:rPr>
                              <m:t>sTTI</m:t>
                            </m:r>
                          </m:oMath>
                        </m:oMathPara>
                      </w:p>
                    </w:txbxContent>
                  </v:textbox>
                </v:rect>
                <v:oval id="Oval 30" o:spid="_x0000_s1049" style="position:absolute;left:28751;top:4439;width:7124;height:12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XGSb4A&#10;AADbAAAADwAAAGRycy9kb3ducmV2LnhtbERPTYvCMBC9L/gfwgje1tQVRKtRRJBdvK324m1sxqaY&#10;TGqTrfXfbw6Cx8f7Xm16Z0VHbag9K5iMMxDEpdc1VwqK0/5zDiJEZI3WMyl4UoDNevCxwlz7B/9S&#10;d4yVSCEcclRgYmxyKUNpyGEY+4Y4cVffOowJtpXULT5SuLPyK8tm0mHNqcFgQztD5e345xScyfaH&#10;qTzwzC0Kc798X+3FdkqNhv12CSJSH9/il/tHK5im9elL+gFy/Q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Fxkm+AAAA2wAAAA8AAAAAAAAAAAAAAAAAmAIAAGRycy9kb3ducmV2&#10;LnhtbFBLBQYAAAAABAAEAPUAAACDAwAAAAA=&#10;" filled="f" strokecolor="black [3213]"/>
                <w10:wrap anchorx="margin"/>
              </v:group>
            </w:pict>
          </mc:Fallback>
        </mc:AlternateContent>
      </w:r>
    </w:p>
    <w:p w14:paraId="01CC4140" w14:textId="77777777" w:rsidR="000A24BD" w:rsidRDefault="000A24BD" w:rsidP="00755A2F">
      <w:pPr>
        <w:jc w:val="both"/>
        <w:rPr>
          <w:lang w:val="en-GB"/>
        </w:rPr>
      </w:pPr>
    </w:p>
    <w:p w14:paraId="13EFD838" w14:textId="77777777" w:rsidR="000A24BD" w:rsidRDefault="000A24BD" w:rsidP="00755A2F">
      <w:pPr>
        <w:jc w:val="both"/>
        <w:rPr>
          <w:lang w:val="en-GB"/>
        </w:rPr>
      </w:pPr>
    </w:p>
    <w:p w14:paraId="73469703" w14:textId="77777777" w:rsidR="000A24BD" w:rsidRDefault="000A24BD" w:rsidP="00755A2F">
      <w:pPr>
        <w:jc w:val="both"/>
        <w:rPr>
          <w:lang w:val="en-GB"/>
        </w:rPr>
      </w:pPr>
    </w:p>
    <w:p w14:paraId="761C478C" w14:textId="77777777" w:rsidR="000A24BD" w:rsidRDefault="000A24BD" w:rsidP="00755A2F">
      <w:pPr>
        <w:jc w:val="both"/>
        <w:rPr>
          <w:lang w:val="en-GB"/>
        </w:rPr>
      </w:pPr>
    </w:p>
    <w:p w14:paraId="35F1B0A2" w14:textId="77777777" w:rsidR="000A24BD" w:rsidRDefault="000A24BD" w:rsidP="00755A2F">
      <w:pPr>
        <w:jc w:val="both"/>
        <w:rPr>
          <w:lang w:val="en-GB"/>
        </w:rPr>
      </w:pPr>
    </w:p>
    <w:p w14:paraId="14120A8D" w14:textId="77777777" w:rsidR="000A24BD" w:rsidRDefault="000A24BD" w:rsidP="00755A2F">
      <w:pPr>
        <w:jc w:val="both"/>
        <w:rPr>
          <w:lang w:val="en-GB"/>
        </w:rPr>
      </w:pPr>
    </w:p>
    <w:p w14:paraId="132B7295" w14:textId="77777777" w:rsidR="000A24BD" w:rsidRDefault="000A24BD" w:rsidP="00755A2F">
      <w:pPr>
        <w:jc w:val="both"/>
        <w:rPr>
          <w:lang w:val="en-GB"/>
        </w:rPr>
      </w:pPr>
    </w:p>
    <w:p w14:paraId="04D769D1" w14:textId="040DBE20" w:rsidR="000A24BD" w:rsidRDefault="00623802" w:rsidP="00755A2F">
      <w:pPr>
        <w:jc w:val="both"/>
        <w:rPr>
          <w:lang w:val="en-GB"/>
        </w:rPr>
      </w:pPr>
      <w:r>
        <w:rPr>
          <w:lang w:val="en-GB"/>
        </w:rPr>
        <w:t xml:space="preserve">In this example, consider a maximum TBS and/or RB allocation for 1ms PDSCH over </w:t>
      </w:r>
      <w:proofErr w:type="spellStart"/>
      <w:r>
        <w:rPr>
          <w:lang w:val="en-GB"/>
        </w:rPr>
        <w:t>subframes</w:t>
      </w:r>
      <w:proofErr w:type="spellEnd"/>
      <w:r>
        <w:rPr>
          <w:lang w:val="en-GB"/>
        </w:rPr>
        <w:t xml:space="preserve"> </w:t>
      </w:r>
      <m:oMath>
        <m:r>
          <w:rPr>
            <w:rFonts w:ascii="Cambria Math" w:hAnsi="Cambria Math"/>
            <w:lang w:val="en-GB"/>
          </w:rPr>
          <m:t>n-2</m:t>
        </m:r>
      </m:oMath>
      <w:r>
        <w:rPr>
          <w:lang w:val="en-GB"/>
        </w:rPr>
        <w:t xml:space="preserve"> </w:t>
      </w:r>
      <w:proofErr w:type="gramStart"/>
      <w:r>
        <w:rPr>
          <w:lang w:val="en-GB"/>
        </w:rPr>
        <w:t xml:space="preserve">and </w:t>
      </w:r>
      <w:proofErr w:type="gramEnd"/>
      <m:oMath>
        <m:r>
          <w:rPr>
            <w:rFonts w:ascii="Cambria Math" w:hAnsi="Cambria Math"/>
            <w:lang w:val="en-GB"/>
          </w:rPr>
          <m:t>n-1</m:t>
        </m:r>
      </m:oMath>
      <w:r>
        <w:rPr>
          <w:lang w:val="en-GB"/>
        </w:rPr>
        <w:t xml:space="preserve">. A UE receives both PDSCH and sPDSCH over subframe </w:t>
      </w:r>
      <m:oMath>
        <m:r>
          <w:rPr>
            <w:rFonts w:ascii="Cambria Math" w:hAnsi="Cambria Math"/>
            <w:lang w:val="en-GB"/>
          </w:rPr>
          <m:t>n</m:t>
        </m:r>
      </m:oMath>
      <w:r>
        <w:rPr>
          <w:lang w:val="en-GB"/>
        </w:rPr>
        <w:t xml:space="preserve"> and needs to decode both. However, assume that the processing of the sTTI overlaps with the processing of PDSCH sent in </w:t>
      </w:r>
      <w:proofErr w:type="spellStart"/>
      <w:proofErr w:type="gramStart"/>
      <w:r>
        <w:rPr>
          <w:lang w:val="en-GB"/>
        </w:rPr>
        <w:t>subframe</w:t>
      </w:r>
      <w:proofErr w:type="spellEnd"/>
      <w:r>
        <w:rPr>
          <w:lang w:val="en-GB"/>
        </w:rPr>
        <w:t xml:space="preserve"> </w:t>
      </w:r>
      <w:proofErr w:type="gramEnd"/>
      <m:oMath>
        <m:r>
          <w:rPr>
            <w:rFonts w:ascii="Cambria Math" w:hAnsi="Cambria Math"/>
            <w:lang w:val="en-GB"/>
          </w:rPr>
          <m:t>n-1</m:t>
        </m:r>
      </m:oMath>
      <w:r>
        <w:rPr>
          <w:lang w:val="en-GB"/>
        </w:rPr>
        <w:t>. Unless a UE has a double capability to handle both sPDSCH and PDSCH separately, it cannot decode both PDSCH and sPDSCH.</w:t>
      </w:r>
    </w:p>
    <w:p w14:paraId="4AF297E2" w14:textId="57B98C59" w:rsidR="009A2709" w:rsidRDefault="0075578C" w:rsidP="00755A2F">
      <w:pPr>
        <w:jc w:val="both"/>
        <w:rPr>
          <w:lang w:val="en-GB"/>
        </w:rPr>
      </w:pPr>
      <w:r>
        <w:rPr>
          <w:lang w:val="en-GB"/>
        </w:rPr>
        <w:t>Next</w:t>
      </w:r>
      <w:r w:rsidR="00623802">
        <w:rPr>
          <w:lang w:val="en-GB"/>
        </w:rPr>
        <w:t xml:space="preserve">, consider the case where a UE is not capable of decoding both </w:t>
      </w:r>
      <w:proofErr w:type="spellStart"/>
      <w:r w:rsidR="00623802">
        <w:rPr>
          <w:lang w:val="en-GB"/>
        </w:rPr>
        <w:t>sTTI</w:t>
      </w:r>
      <w:proofErr w:type="spellEnd"/>
      <w:r w:rsidR="00623802">
        <w:rPr>
          <w:lang w:val="en-GB"/>
        </w:rPr>
        <w:t xml:space="preserve"> and 1ms TTI sent in </w:t>
      </w:r>
      <w:proofErr w:type="spellStart"/>
      <w:proofErr w:type="gramStart"/>
      <w:r w:rsidR="00623802">
        <w:rPr>
          <w:lang w:val="en-GB"/>
        </w:rPr>
        <w:t>subframe</w:t>
      </w:r>
      <w:proofErr w:type="spellEnd"/>
      <w:r w:rsidR="00623802">
        <w:rPr>
          <w:lang w:val="en-GB"/>
        </w:rPr>
        <w:t xml:space="preserve"> </w:t>
      </w:r>
      <w:proofErr w:type="gramEnd"/>
      <m:oMath>
        <m:r>
          <w:rPr>
            <w:rFonts w:ascii="Cambria Math" w:hAnsi="Cambria Math"/>
            <w:lang w:val="en-GB"/>
          </w:rPr>
          <m:t>n</m:t>
        </m:r>
      </m:oMath>
      <w:r>
        <w:rPr>
          <w:lang w:val="en-GB"/>
        </w:rPr>
        <w:t>. According to the agreement, it is required to decode sTTI and discard the PDSCH. However, similar to the case shown above, since the sTTI processing may collide with the PDSCH processing sent earlier, even sTTI decoding alone cannot be done.</w:t>
      </w:r>
    </w:p>
    <w:p w14:paraId="1340C806" w14:textId="77242B59" w:rsidR="0075578C" w:rsidRDefault="0075578C" w:rsidP="00755A2F">
      <w:pPr>
        <w:jc w:val="both"/>
        <w:rPr>
          <w:lang w:val="en-GB"/>
        </w:rPr>
      </w:pPr>
      <w:r>
        <w:rPr>
          <w:lang w:val="en-GB"/>
        </w:rPr>
        <w:t>As explained, under both UE capabilities as defined in RAN1 #87, some limitations are needed. In the remainder of this section, we present some possible solutions:</w:t>
      </w:r>
    </w:p>
    <w:p w14:paraId="3D797256" w14:textId="74904A21" w:rsidR="0075578C" w:rsidRPr="00A53EF2" w:rsidRDefault="00B55105" w:rsidP="005B533B">
      <w:pPr>
        <w:pStyle w:val="ListParagraph"/>
        <w:numPr>
          <w:ilvl w:val="0"/>
          <w:numId w:val="46"/>
        </w:numPr>
        <w:jc w:val="both"/>
        <w:rPr>
          <w:lang w:val="en-GB"/>
        </w:rPr>
      </w:pPr>
      <w:r>
        <w:rPr>
          <w:sz w:val="20"/>
          <w:lang w:val="en-GB"/>
        </w:rPr>
        <w:t>Defining</w:t>
      </w:r>
      <w:r w:rsidR="0075578C" w:rsidRPr="005B533B">
        <w:rPr>
          <w:sz w:val="20"/>
          <w:lang w:val="en-GB"/>
        </w:rPr>
        <w:t xml:space="preserve"> an exclusion window</w:t>
      </w:r>
      <w:r>
        <w:rPr>
          <w:sz w:val="20"/>
          <w:lang w:val="en-GB"/>
        </w:rPr>
        <w:t>.</w:t>
      </w:r>
    </w:p>
    <w:p w14:paraId="6B489BE6" w14:textId="601C8031" w:rsidR="0075578C" w:rsidRPr="00A53EF2" w:rsidRDefault="00B55105" w:rsidP="005B533B">
      <w:pPr>
        <w:pStyle w:val="ListParagraph"/>
        <w:numPr>
          <w:ilvl w:val="0"/>
          <w:numId w:val="46"/>
        </w:numPr>
        <w:jc w:val="both"/>
        <w:rPr>
          <w:lang w:val="en-GB"/>
        </w:rPr>
      </w:pPr>
      <w:r>
        <w:rPr>
          <w:sz w:val="20"/>
          <w:lang w:val="en-GB"/>
        </w:rPr>
        <w:t>Defining</w:t>
      </w:r>
      <w:r w:rsidR="0075578C" w:rsidRPr="005B533B">
        <w:rPr>
          <w:sz w:val="20"/>
          <w:lang w:val="en-GB"/>
        </w:rPr>
        <w:t xml:space="preserve"> a processing constraint</w:t>
      </w:r>
      <w:r w:rsidRPr="005B533B">
        <w:rPr>
          <w:sz w:val="20"/>
          <w:lang w:val="en-GB"/>
        </w:rPr>
        <w:t xml:space="preserve"> within a given</w:t>
      </w:r>
      <w:r w:rsidR="0075578C" w:rsidRPr="005B533B">
        <w:rPr>
          <w:sz w:val="20"/>
          <w:lang w:val="en-GB"/>
        </w:rPr>
        <w:t xml:space="preserve"> window</w:t>
      </w:r>
      <w:r>
        <w:rPr>
          <w:sz w:val="20"/>
          <w:lang w:val="en-GB"/>
        </w:rPr>
        <w:t>.</w:t>
      </w:r>
    </w:p>
    <w:p w14:paraId="1D125E8D" w14:textId="77777777" w:rsidR="0075578C" w:rsidRDefault="0075578C" w:rsidP="00755A2F">
      <w:pPr>
        <w:jc w:val="both"/>
        <w:rPr>
          <w:lang w:val="en-GB"/>
        </w:rPr>
      </w:pPr>
    </w:p>
    <w:p w14:paraId="6B50B862" w14:textId="686076D0" w:rsidR="00483FB8" w:rsidRDefault="00434837">
      <w:pPr>
        <w:jc w:val="both"/>
        <w:rPr>
          <w:lang w:val="en-GB"/>
        </w:rPr>
      </w:pPr>
      <w:r>
        <w:rPr>
          <w:lang w:val="en-GB"/>
        </w:rPr>
        <w:t xml:space="preserve">Under (1), an exclusion window is considered. In particular, if an </w:t>
      </w:r>
      <w:proofErr w:type="spellStart"/>
      <w:r>
        <w:rPr>
          <w:lang w:val="en-GB"/>
        </w:rPr>
        <w:t>sTTI</w:t>
      </w:r>
      <w:proofErr w:type="spellEnd"/>
      <w:r>
        <w:rPr>
          <w:lang w:val="en-GB"/>
        </w:rPr>
        <w:t xml:space="preserve"> is scheduled over </w:t>
      </w:r>
      <w:proofErr w:type="spellStart"/>
      <w:proofErr w:type="gramStart"/>
      <w:r>
        <w:rPr>
          <w:lang w:val="en-GB"/>
        </w:rPr>
        <w:t>subframe</w:t>
      </w:r>
      <w:proofErr w:type="spellEnd"/>
      <w:r>
        <w:rPr>
          <w:lang w:val="en-GB"/>
        </w:rPr>
        <w:t xml:space="preserve"> </w:t>
      </w:r>
      <w:proofErr w:type="gramEnd"/>
      <m:oMath>
        <m:r>
          <w:rPr>
            <w:rFonts w:ascii="Cambria Math" w:hAnsi="Cambria Math"/>
            <w:lang w:val="en-GB"/>
          </w:rPr>
          <m:t>n</m:t>
        </m:r>
      </m:oMath>
      <w:r>
        <w:rPr>
          <w:lang w:val="en-GB"/>
        </w:rPr>
        <w:t xml:space="preserve">, the processing of all PDSCHs within the window will be discontinued. </w:t>
      </w:r>
      <w:r w:rsidR="00E62D17">
        <w:rPr>
          <w:lang w:val="en-GB"/>
        </w:rPr>
        <w:t xml:space="preserve">The second approach is more relaxed. Specifically, only a subset of PDSCHs within the window will be discarded if a constraint on the maximum data rate or number of RBs in the process is violated. </w:t>
      </w:r>
    </w:p>
    <w:p w14:paraId="044A049B" w14:textId="4493C5BA" w:rsidR="009A2709" w:rsidRDefault="009A2709">
      <w:pPr>
        <w:jc w:val="both"/>
        <w:rPr>
          <w:lang w:val="en-GB"/>
        </w:rPr>
      </w:pPr>
      <w:r>
        <w:rPr>
          <w:lang w:val="en-GB"/>
        </w:rPr>
        <w:t xml:space="preserve">It should be noted that, the window defined above is for dynamically going from a 1ms scheduling to </w:t>
      </w:r>
      <w:proofErr w:type="gramStart"/>
      <w:r>
        <w:rPr>
          <w:lang w:val="en-GB"/>
        </w:rPr>
        <w:t>an</w:t>
      </w:r>
      <w:proofErr w:type="gramEnd"/>
      <w:r>
        <w:rPr>
          <w:lang w:val="en-GB"/>
        </w:rPr>
        <w:t xml:space="preserve"> </w:t>
      </w:r>
      <w:proofErr w:type="spellStart"/>
      <w:r>
        <w:rPr>
          <w:lang w:val="en-GB"/>
        </w:rPr>
        <w:t>sTTI</w:t>
      </w:r>
      <w:proofErr w:type="spellEnd"/>
      <w:r>
        <w:rPr>
          <w:lang w:val="en-GB"/>
        </w:rPr>
        <w:t xml:space="preserve"> scheduling. In a scenario where the scheduling goes from </w:t>
      </w:r>
      <w:proofErr w:type="gramStart"/>
      <w:r>
        <w:rPr>
          <w:lang w:val="en-GB"/>
        </w:rPr>
        <w:t>an</w:t>
      </w:r>
      <w:proofErr w:type="gramEnd"/>
      <w:r>
        <w:rPr>
          <w:lang w:val="en-GB"/>
        </w:rPr>
        <w:t xml:space="preserve"> </w:t>
      </w:r>
      <w:proofErr w:type="spellStart"/>
      <w:r>
        <w:rPr>
          <w:lang w:val="en-GB"/>
        </w:rPr>
        <w:t>sTTI</w:t>
      </w:r>
      <w:proofErr w:type="spellEnd"/>
      <w:r>
        <w:rPr>
          <w:lang w:val="en-GB"/>
        </w:rPr>
        <w:t xml:space="preserve"> to a 1ms TTI, the window could be smaller, or even no window </w:t>
      </w:r>
      <w:r>
        <w:rPr>
          <w:lang w:val="en-GB"/>
        </w:rPr>
        <w:lastRenderedPageBreak/>
        <w:t xml:space="preserve">may be needed. In essence, the window size could be asymmetric depending on whether a 1ms PDSCH is scheduled first </w:t>
      </w:r>
      <w:r w:rsidR="006E40A5">
        <w:rPr>
          <w:lang w:val="en-GB"/>
        </w:rPr>
        <w:t>or not.</w:t>
      </w:r>
      <w:bookmarkStart w:id="2" w:name="_GoBack"/>
      <w:bookmarkEnd w:id="2"/>
    </w:p>
    <w:p w14:paraId="4294FF11" w14:textId="550B88B7" w:rsidR="00EA7ADD" w:rsidRPr="00EA7ADD" w:rsidRDefault="00EA7ADD" w:rsidP="00EA7ADD">
      <w:pPr>
        <w:jc w:val="both"/>
        <w:rPr>
          <w:b/>
          <w:lang w:val="en-GB"/>
        </w:rPr>
      </w:pPr>
      <w:r w:rsidRPr="00EA7ADD">
        <w:rPr>
          <w:b/>
          <w:lang w:val="en-GB"/>
        </w:rPr>
        <w:t xml:space="preserve">Proposal 1: The agreement made in RAN1 #87 regarding the handling of unicast PDSCH and </w:t>
      </w:r>
      <w:proofErr w:type="spellStart"/>
      <w:r w:rsidRPr="00EA7ADD">
        <w:rPr>
          <w:b/>
          <w:lang w:val="en-GB"/>
        </w:rPr>
        <w:t>sPDSCH</w:t>
      </w:r>
      <w:proofErr w:type="spellEnd"/>
      <w:r w:rsidRPr="00EA7ADD">
        <w:rPr>
          <w:b/>
          <w:lang w:val="en-GB"/>
        </w:rPr>
        <w:t xml:space="preserve"> should </w:t>
      </w:r>
      <w:r>
        <w:rPr>
          <w:b/>
          <w:lang w:val="en-GB"/>
        </w:rPr>
        <w:t>be revised</w:t>
      </w:r>
      <w:r w:rsidRPr="00EA7ADD">
        <w:rPr>
          <w:b/>
          <w:lang w:val="en-GB"/>
        </w:rPr>
        <w:t xml:space="preserve"> by introducing some limitations to enable an efficient processing/decoding of different services with </w:t>
      </w:r>
      <w:proofErr w:type="gramStart"/>
      <w:r w:rsidRPr="00EA7ADD">
        <w:rPr>
          <w:b/>
          <w:lang w:val="en-GB"/>
        </w:rPr>
        <w:t>different</w:t>
      </w:r>
      <w:proofErr w:type="gramEnd"/>
      <w:r w:rsidRPr="00EA7ADD">
        <w:rPr>
          <w:b/>
          <w:lang w:val="en-GB"/>
        </w:rPr>
        <w:t xml:space="preserve"> TTI lengths. </w:t>
      </w:r>
    </w:p>
    <w:p w14:paraId="07F50599" w14:textId="340C7120" w:rsidR="006034B0" w:rsidRDefault="006034B0" w:rsidP="006034B0">
      <w:pPr>
        <w:pStyle w:val="Heading3"/>
        <w:keepNext/>
        <w:keepLines/>
        <w:numPr>
          <w:ilvl w:val="1"/>
          <w:numId w:val="44"/>
        </w:numPr>
        <w:jc w:val="both"/>
      </w:pPr>
      <w:r>
        <w:t xml:space="preserve">   Shortened PDSCH Resource Allocation </w:t>
      </w:r>
    </w:p>
    <w:p w14:paraId="3A5D44A6" w14:textId="08E55310" w:rsidR="006034B0" w:rsidRPr="006034B0" w:rsidRDefault="006034B0" w:rsidP="006034B0">
      <w:pPr>
        <w:jc w:val="both"/>
        <w:rPr>
          <w:lang w:val="en-GB"/>
        </w:rPr>
      </w:pPr>
      <w:r w:rsidRPr="006034B0">
        <w:rPr>
          <w:lang w:val="en-GB"/>
        </w:rPr>
        <w:t xml:space="preserve">As the TTI length reduces, there are specific challenges with the data channel design. The design should efficiently support multiple </w:t>
      </w:r>
      <w:proofErr w:type="spellStart"/>
      <w:r w:rsidRPr="006034B0">
        <w:rPr>
          <w:lang w:val="en-GB"/>
        </w:rPr>
        <w:t>sTTI</w:t>
      </w:r>
      <w:proofErr w:type="spellEnd"/>
      <w:r w:rsidRPr="006034B0">
        <w:rPr>
          <w:lang w:val="en-GB"/>
        </w:rPr>
        <w:t xml:space="preserve"> users accessing the </w:t>
      </w:r>
      <w:proofErr w:type="spellStart"/>
      <w:r w:rsidRPr="006034B0">
        <w:rPr>
          <w:lang w:val="en-GB"/>
        </w:rPr>
        <w:t>sPDSCH</w:t>
      </w:r>
      <w:proofErr w:type="spellEnd"/>
      <w:r w:rsidRPr="006034B0">
        <w:rPr>
          <w:lang w:val="en-GB"/>
        </w:rPr>
        <w:t xml:space="preserve"> simultaneously. Additionally specification of </w:t>
      </w:r>
      <w:proofErr w:type="spellStart"/>
      <w:r w:rsidRPr="006034B0">
        <w:rPr>
          <w:lang w:val="en-GB"/>
        </w:rPr>
        <w:t>sPDSCH</w:t>
      </w:r>
      <w:proofErr w:type="spellEnd"/>
      <w:r w:rsidRPr="006034B0">
        <w:rPr>
          <w:lang w:val="en-GB"/>
        </w:rPr>
        <w:t xml:space="preserve"> resources must be minimized to prevent large </w:t>
      </w:r>
      <w:proofErr w:type="spellStart"/>
      <w:r w:rsidRPr="006034B0">
        <w:rPr>
          <w:lang w:val="en-GB"/>
        </w:rPr>
        <w:t>sPDCCH</w:t>
      </w:r>
      <w:proofErr w:type="spellEnd"/>
      <w:r w:rsidRPr="006034B0">
        <w:rPr>
          <w:lang w:val="en-GB"/>
        </w:rPr>
        <w:t xml:space="preserve"> payload resulting in unacceptab</w:t>
      </w:r>
      <w:r w:rsidR="00FD3D6F">
        <w:rPr>
          <w:lang w:val="en-GB"/>
        </w:rPr>
        <w:t xml:space="preserve">le control overhead. Allocation </w:t>
      </w:r>
      <w:r w:rsidRPr="006034B0">
        <w:rPr>
          <w:lang w:val="en-GB"/>
        </w:rPr>
        <w:t xml:space="preserve">of </w:t>
      </w:r>
      <w:proofErr w:type="spellStart"/>
      <w:r w:rsidRPr="006034B0">
        <w:rPr>
          <w:lang w:val="en-GB"/>
        </w:rPr>
        <w:t>sPDSCH</w:t>
      </w:r>
      <w:proofErr w:type="spellEnd"/>
      <w:r w:rsidRPr="006034B0">
        <w:rPr>
          <w:lang w:val="en-GB"/>
        </w:rPr>
        <w:t xml:space="preserve"> resources into defined blocks of separate data regions wherein 1 or more users can access either 1, multiple, or all of the defined </w:t>
      </w:r>
      <w:proofErr w:type="spellStart"/>
      <w:r w:rsidRPr="006034B0">
        <w:rPr>
          <w:lang w:val="en-GB"/>
        </w:rPr>
        <w:t>sTTI</w:t>
      </w:r>
      <w:proofErr w:type="spellEnd"/>
      <w:r w:rsidRPr="006034B0">
        <w:rPr>
          <w:lang w:val="en-GB"/>
        </w:rPr>
        <w:t xml:space="preserve"> data blocks</w:t>
      </w:r>
      <w:r w:rsidR="00DC4A38">
        <w:rPr>
          <w:lang w:val="en-GB"/>
        </w:rPr>
        <w:t xml:space="preserve"> should therefore be considered</w:t>
      </w:r>
      <w:r w:rsidRPr="006034B0">
        <w:rPr>
          <w:lang w:val="en-GB"/>
        </w:rPr>
        <w:t xml:space="preserve">. Additionally, the </w:t>
      </w:r>
      <w:proofErr w:type="spellStart"/>
      <w:r w:rsidRPr="006034B0">
        <w:rPr>
          <w:lang w:val="en-GB"/>
        </w:rPr>
        <w:t>sPDCCH</w:t>
      </w:r>
      <w:proofErr w:type="spellEnd"/>
      <w:r w:rsidRPr="006034B0">
        <w:rPr>
          <w:lang w:val="en-GB"/>
        </w:rPr>
        <w:t xml:space="preserve"> control channel should be embedded within the block and positioned in the first symbol to allow for early decode. A high level diagram of this structure is shown in </w:t>
      </w:r>
      <w:r w:rsidRPr="006034B0">
        <w:rPr>
          <w:lang w:val="en-GB"/>
        </w:rPr>
        <w:fldChar w:fldCharType="begin"/>
      </w:r>
      <w:r w:rsidRPr="006034B0">
        <w:rPr>
          <w:lang w:val="en-GB"/>
        </w:rPr>
        <w:instrText xml:space="preserve"> REF _Ref456945734 \h  \* MERGEFORMAT </w:instrText>
      </w:r>
      <w:r w:rsidRPr="006034B0">
        <w:rPr>
          <w:lang w:val="en-GB"/>
        </w:rPr>
      </w:r>
      <w:r w:rsidRPr="006034B0">
        <w:rPr>
          <w:lang w:val="en-GB"/>
        </w:rPr>
        <w:fldChar w:fldCharType="separate"/>
      </w:r>
      <w:r w:rsidRPr="006034B0">
        <w:t xml:space="preserve">Figure </w:t>
      </w:r>
      <w:r w:rsidRPr="006034B0">
        <w:rPr>
          <w:noProof/>
        </w:rPr>
        <w:t>1</w:t>
      </w:r>
      <w:r w:rsidRPr="006034B0">
        <w:rPr>
          <w:lang w:val="en-GB"/>
        </w:rPr>
        <w:fldChar w:fldCharType="end"/>
      </w:r>
      <w:r w:rsidRPr="006034B0">
        <w:rPr>
          <w:lang w:val="en-GB"/>
        </w:rPr>
        <w:t>.</w:t>
      </w:r>
    </w:p>
    <w:p w14:paraId="271F7770" w14:textId="60B04126" w:rsidR="006034B0" w:rsidRDefault="006034B0" w:rsidP="006034B0">
      <w:pPr>
        <w:jc w:val="both"/>
        <w:rPr>
          <w:lang w:val="en-GB"/>
        </w:rPr>
      </w:pPr>
      <w:r w:rsidRPr="006034B0">
        <w:rPr>
          <w:lang w:val="en-GB"/>
        </w:rPr>
        <w:t>There can be multiple blocks defined with varying size in frequency, and the blocks can be defined to span the whole system bandwidth or a portion of the bandwidth as shown</w:t>
      </w:r>
      <w:r w:rsidR="00FD3D6F">
        <w:rPr>
          <w:lang w:val="en-GB"/>
        </w:rPr>
        <w:t xml:space="preserve"> in the figure</w:t>
      </w:r>
      <w:r w:rsidRPr="006034B0">
        <w:rPr>
          <w:lang w:val="en-GB"/>
        </w:rPr>
        <w:t xml:space="preserve">. The block structure can be semi-statically defined via higher layer signalling. This allows for a baseline resource structure that (1) does not consume legacy PDCCH or </w:t>
      </w:r>
      <w:proofErr w:type="spellStart"/>
      <w:r w:rsidRPr="006034B0">
        <w:rPr>
          <w:lang w:val="en-GB"/>
        </w:rPr>
        <w:t>sPDCCH</w:t>
      </w:r>
      <w:proofErr w:type="spellEnd"/>
      <w:r w:rsidRPr="006034B0">
        <w:rPr>
          <w:lang w:val="en-GB"/>
        </w:rPr>
        <w:t xml:space="preserve"> resource overhead to define, (2) can allow for multiple UEs to access an </w:t>
      </w:r>
      <w:proofErr w:type="spellStart"/>
      <w:r w:rsidRPr="006034B0">
        <w:rPr>
          <w:lang w:val="en-GB"/>
        </w:rPr>
        <w:t>sTTI</w:t>
      </w:r>
      <w:proofErr w:type="spellEnd"/>
      <w:r w:rsidRPr="006034B0">
        <w:rPr>
          <w:lang w:val="en-GB"/>
        </w:rPr>
        <w:t xml:space="preserve"> resource at the same time, (3) can allow for a UE to be flexibly allocated a variable allocation of </w:t>
      </w:r>
      <w:proofErr w:type="spellStart"/>
      <w:r w:rsidRPr="006034B0">
        <w:rPr>
          <w:lang w:val="en-GB"/>
        </w:rPr>
        <w:t>sPDSCH</w:t>
      </w:r>
      <w:proofErr w:type="spellEnd"/>
      <w:r w:rsidRPr="006034B0">
        <w:rPr>
          <w:lang w:val="en-GB"/>
        </w:rPr>
        <w:t xml:space="preserve"> resources within the same TTI, and (4) can be modified and changed as needed by the </w:t>
      </w:r>
      <w:proofErr w:type="spellStart"/>
      <w:r w:rsidRPr="006034B0">
        <w:rPr>
          <w:lang w:val="en-GB"/>
        </w:rPr>
        <w:t>eNB</w:t>
      </w:r>
      <w:proofErr w:type="spellEnd"/>
      <w:r w:rsidRPr="006034B0">
        <w:rPr>
          <w:lang w:val="en-GB"/>
        </w:rPr>
        <w:t xml:space="preserve"> via higher layer signalling.</w:t>
      </w:r>
    </w:p>
    <w:p w14:paraId="5D283680" w14:textId="77777777" w:rsidR="006034B0" w:rsidRDefault="006034B0" w:rsidP="006034B0">
      <w:pPr>
        <w:jc w:val="center"/>
        <w:rPr>
          <w:lang w:val="en-GB"/>
        </w:rPr>
      </w:pPr>
      <w:r>
        <w:object w:dxaOrig="6606" w:dyaOrig="4404" w14:anchorId="0E54B0C6">
          <v:shape id="_x0000_i1025" type="#_x0000_t75" style="width:330pt;height:220.5pt" o:ole="">
            <v:imagedata r:id="rId13" o:title=""/>
          </v:shape>
          <o:OLEObject Type="Embed" ProgID="Visio.Drawing.11" ShapeID="_x0000_i1025" DrawAspect="Content" ObjectID="_1551877929" r:id="rId14"/>
        </w:object>
      </w:r>
    </w:p>
    <w:p w14:paraId="6ABFAB22" w14:textId="77777777" w:rsidR="006034B0" w:rsidRDefault="006034B0" w:rsidP="006034B0">
      <w:pPr>
        <w:pStyle w:val="Caption"/>
        <w:jc w:val="center"/>
        <w:rPr>
          <w:b w:val="0"/>
        </w:rPr>
      </w:pPr>
      <w:bookmarkStart w:id="3" w:name="_Ref456945734"/>
      <w:r w:rsidRPr="00893BEA">
        <w:rPr>
          <w:b w:val="0"/>
        </w:rPr>
        <w:t xml:space="preserve">Figure </w:t>
      </w:r>
      <w:r w:rsidRPr="00893BEA">
        <w:rPr>
          <w:b w:val="0"/>
        </w:rPr>
        <w:fldChar w:fldCharType="begin"/>
      </w:r>
      <w:r w:rsidRPr="00893BEA">
        <w:rPr>
          <w:b w:val="0"/>
        </w:rPr>
        <w:instrText xml:space="preserve"> SEQ Figure \* ARABIC </w:instrText>
      </w:r>
      <w:r w:rsidRPr="00893BEA">
        <w:rPr>
          <w:b w:val="0"/>
        </w:rPr>
        <w:fldChar w:fldCharType="separate"/>
      </w:r>
      <w:r>
        <w:rPr>
          <w:b w:val="0"/>
          <w:noProof/>
        </w:rPr>
        <w:t>1</w:t>
      </w:r>
      <w:r w:rsidRPr="00893BEA">
        <w:rPr>
          <w:b w:val="0"/>
        </w:rPr>
        <w:fldChar w:fldCharType="end"/>
      </w:r>
      <w:bookmarkEnd w:id="3"/>
      <w:r w:rsidRPr="00893BEA">
        <w:rPr>
          <w:b w:val="0"/>
        </w:rPr>
        <w:t xml:space="preserve">: Diagram of downlink </w:t>
      </w:r>
      <w:proofErr w:type="spellStart"/>
      <w:r w:rsidRPr="00893BEA">
        <w:rPr>
          <w:b w:val="0"/>
        </w:rPr>
        <w:t>sTTI</w:t>
      </w:r>
      <w:proofErr w:type="spellEnd"/>
      <w:r w:rsidRPr="00893BEA">
        <w:rPr>
          <w:b w:val="0"/>
        </w:rPr>
        <w:t xml:space="preserve"> Resource Allocation</w:t>
      </w:r>
    </w:p>
    <w:p w14:paraId="56152100" w14:textId="77777777" w:rsidR="006034B0" w:rsidRDefault="006034B0" w:rsidP="006034B0">
      <w:pPr>
        <w:jc w:val="both"/>
      </w:pPr>
    </w:p>
    <w:p w14:paraId="039FDB30" w14:textId="279AA026" w:rsidR="006034B0" w:rsidRDefault="006034B0" w:rsidP="006034B0">
      <w:pPr>
        <w:jc w:val="both"/>
      </w:pPr>
      <w:r>
        <w:t xml:space="preserve">The </w:t>
      </w:r>
      <w:proofErr w:type="spellStart"/>
      <w:r>
        <w:t>sTTI</w:t>
      </w:r>
      <w:proofErr w:type="spellEnd"/>
      <w:r>
        <w:t xml:space="preserve"> duration is fixed within a block. However, multiple blocks that are configured with the same </w:t>
      </w:r>
      <w:proofErr w:type="spellStart"/>
      <w:r>
        <w:t>sTTI</w:t>
      </w:r>
      <w:proofErr w:type="spellEnd"/>
      <w:r>
        <w:t xml:space="preserve"> length can be jointly scheduled to a particular user in a given </w:t>
      </w:r>
      <w:proofErr w:type="spellStart"/>
      <w:r>
        <w:t>sTTI</w:t>
      </w:r>
      <w:proofErr w:type="spellEnd"/>
      <w:r>
        <w:t xml:space="preserve"> period, and this information is conveyed in the </w:t>
      </w:r>
      <w:proofErr w:type="spellStart"/>
      <w:r>
        <w:t>sPDCCH</w:t>
      </w:r>
      <w:proofErr w:type="spellEnd"/>
      <w:r>
        <w:t xml:space="preserve"> channel. Note that for slot </w:t>
      </w:r>
      <w:proofErr w:type="spellStart"/>
      <w:r>
        <w:t>sTTI</w:t>
      </w:r>
      <w:proofErr w:type="spellEnd"/>
      <w:r>
        <w:t xml:space="preserve">, block based resource allocation may also be adopted, although the block size for slot </w:t>
      </w:r>
      <w:proofErr w:type="spellStart"/>
      <w:r>
        <w:t>sTTI</w:t>
      </w:r>
      <w:proofErr w:type="spellEnd"/>
      <w:r>
        <w:t xml:space="preserve"> and 2-symbol </w:t>
      </w:r>
      <w:proofErr w:type="spellStart"/>
      <w:r>
        <w:t>sTTI</w:t>
      </w:r>
      <w:proofErr w:type="spellEnd"/>
      <w:r>
        <w:t xml:space="preserve"> should generally be different. As an example, the resource allocation granularity for slot </w:t>
      </w:r>
      <w:proofErr w:type="spellStart"/>
      <w:r>
        <w:t>sTTI</w:t>
      </w:r>
      <w:proofErr w:type="spellEnd"/>
      <w:r>
        <w:t xml:space="preserve"> can be double that of legacy 1-ms TTI based scheduling (e.g., 2-RB based block scheduling).</w:t>
      </w:r>
      <w:r w:rsidR="00D61F29">
        <w:t xml:space="preserve"> In addition, it is worth mentioning that the resource blocks, as shown in the figure, are virtual; the PRBs associated with each block could potentially be distributed in the entire bandwidth or contiguous depending on the resource allocation type.</w:t>
      </w:r>
    </w:p>
    <w:p w14:paraId="26A88047" w14:textId="3B682F3D" w:rsidR="006034B0" w:rsidRDefault="00DC4A38" w:rsidP="006034B0">
      <w:pPr>
        <w:jc w:val="both"/>
        <w:rPr>
          <w:b/>
        </w:rPr>
      </w:pPr>
      <w:r>
        <w:rPr>
          <w:b/>
        </w:rPr>
        <w:t>Proposal 2</w:t>
      </w:r>
      <w:r w:rsidR="006034B0" w:rsidRPr="006034B0">
        <w:rPr>
          <w:b/>
        </w:rPr>
        <w:t xml:space="preserve">: A block based </w:t>
      </w:r>
      <w:proofErr w:type="spellStart"/>
      <w:r w:rsidR="006034B0" w:rsidRPr="006034B0">
        <w:rPr>
          <w:b/>
        </w:rPr>
        <w:t>sTTI</w:t>
      </w:r>
      <w:proofErr w:type="spellEnd"/>
      <w:r w:rsidR="006034B0" w:rsidRPr="006034B0">
        <w:rPr>
          <w:b/>
        </w:rPr>
        <w:t xml:space="preserve"> design should be considered at least for the 2-symbol </w:t>
      </w:r>
      <w:proofErr w:type="spellStart"/>
      <w:r w:rsidR="006034B0" w:rsidRPr="006034B0">
        <w:rPr>
          <w:b/>
        </w:rPr>
        <w:t>sTTI</w:t>
      </w:r>
      <w:proofErr w:type="spellEnd"/>
      <w:r w:rsidR="006034B0" w:rsidRPr="006034B0">
        <w:rPr>
          <w:b/>
        </w:rPr>
        <w:t xml:space="preserve">, allowing </w:t>
      </w:r>
      <w:proofErr w:type="spellStart"/>
      <w:r w:rsidR="006034B0" w:rsidRPr="006034B0">
        <w:rPr>
          <w:b/>
        </w:rPr>
        <w:t>eNB</w:t>
      </w:r>
      <w:proofErr w:type="spellEnd"/>
      <w:r w:rsidR="006034B0" w:rsidRPr="006034B0">
        <w:rPr>
          <w:b/>
        </w:rPr>
        <w:t xml:space="preserve"> to flexibly assign one or more UEs to one or more </w:t>
      </w:r>
      <w:proofErr w:type="spellStart"/>
      <w:r w:rsidR="006034B0" w:rsidRPr="006034B0">
        <w:rPr>
          <w:b/>
        </w:rPr>
        <w:t>sTTI</w:t>
      </w:r>
      <w:proofErr w:type="spellEnd"/>
      <w:r w:rsidR="006034B0" w:rsidRPr="006034B0">
        <w:rPr>
          <w:b/>
        </w:rPr>
        <w:t xml:space="preserve"> blocks.</w:t>
      </w:r>
    </w:p>
    <w:p w14:paraId="00D2D237" w14:textId="26E8FC0F" w:rsidR="00DC4A38" w:rsidRPr="00775094" w:rsidRDefault="00DC4A38" w:rsidP="006034B0">
      <w:pPr>
        <w:jc w:val="both"/>
        <w:rPr>
          <w:b/>
        </w:rPr>
      </w:pPr>
      <w:r>
        <w:rPr>
          <w:b/>
        </w:rPr>
        <w:t>Proposal 3: The block structure can be configured via a higher layer signaling.</w:t>
      </w:r>
    </w:p>
    <w:p w14:paraId="294DF458" w14:textId="7701BA77" w:rsidR="006034B0" w:rsidRPr="007D58FC" w:rsidRDefault="006034B0" w:rsidP="006034B0">
      <w:pPr>
        <w:jc w:val="both"/>
        <w:rPr>
          <w:lang w:val="en-GB"/>
        </w:rPr>
      </w:pPr>
      <w:r w:rsidRPr="006034B0">
        <w:rPr>
          <w:lang w:val="en-GB"/>
        </w:rPr>
        <w:t xml:space="preserve">The blocks comprises a set of RBs and can be defined using the existing downlink resource allocation schemes, particularly, the RBG based approaches which can allow for </w:t>
      </w:r>
      <w:r w:rsidR="00DC4A38">
        <w:rPr>
          <w:lang w:val="en-GB"/>
        </w:rPr>
        <w:t>proper</w:t>
      </w:r>
      <w:r w:rsidRPr="006034B0">
        <w:rPr>
          <w:lang w:val="en-GB"/>
        </w:rPr>
        <w:t xml:space="preserve"> coexistence with legacy 1ms PDSCH allocations. In</w:t>
      </w:r>
      <w:r>
        <w:rPr>
          <w:lang w:val="en-GB"/>
        </w:rPr>
        <w:t xml:space="preserve"> many operational scenarios, </w:t>
      </w:r>
      <w:proofErr w:type="spellStart"/>
      <w:r>
        <w:rPr>
          <w:lang w:val="en-GB"/>
        </w:rPr>
        <w:t>sTTI</w:t>
      </w:r>
      <w:proofErr w:type="spellEnd"/>
      <w:r>
        <w:rPr>
          <w:lang w:val="en-GB"/>
        </w:rPr>
        <w:t xml:space="preserve"> users and legacy 1ms users can be </w:t>
      </w:r>
      <w:proofErr w:type="spellStart"/>
      <w:r>
        <w:rPr>
          <w:lang w:val="en-GB"/>
        </w:rPr>
        <w:t>FDM’ed</w:t>
      </w:r>
      <w:proofErr w:type="spellEnd"/>
      <w:r>
        <w:rPr>
          <w:lang w:val="en-GB"/>
        </w:rPr>
        <w:t xml:space="preserve"> efficiently without overlap. However, note </w:t>
      </w:r>
      <w:r>
        <w:rPr>
          <w:lang w:val="en-GB"/>
        </w:rPr>
        <w:lastRenderedPageBreak/>
        <w:t xml:space="preserve">that this block-based design does not preclude support of dynamic 1ms PDSCH allocations that can overlap with the </w:t>
      </w:r>
      <w:proofErr w:type="spellStart"/>
      <w:r>
        <w:rPr>
          <w:lang w:val="en-GB"/>
        </w:rPr>
        <w:t>sTTI</w:t>
      </w:r>
      <w:proofErr w:type="spellEnd"/>
      <w:r>
        <w:rPr>
          <w:lang w:val="en-GB"/>
        </w:rPr>
        <w:t xml:space="preserve"> block structure. In a given </w:t>
      </w:r>
      <w:proofErr w:type="spellStart"/>
      <w:r>
        <w:rPr>
          <w:lang w:val="en-GB"/>
        </w:rPr>
        <w:t>sTTI</w:t>
      </w:r>
      <w:proofErr w:type="spellEnd"/>
      <w:r>
        <w:rPr>
          <w:lang w:val="en-GB"/>
        </w:rPr>
        <w:t xml:space="preserve">, a low latency user may be assigned </w:t>
      </w:r>
      <w:proofErr w:type="spellStart"/>
      <w:r>
        <w:rPr>
          <w:lang w:val="en-GB"/>
        </w:rPr>
        <w:t>sTTI</w:t>
      </w:r>
      <w:proofErr w:type="spellEnd"/>
      <w:r>
        <w:rPr>
          <w:lang w:val="en-GB"/>
        </w:rPr>
        <w:t xml:space="preserve"> blocks that may have been already assigned to a 1ms legacy PDSCH user. This operational scenario is shown in </w:t>
      </w:r>
      <w:r w:rsidRPr="00F42969">
        <w:rPr>
          <w:lang w:val="en-GB"/>
        </w:rPr>
        <w:fldChar w:fldCharType="begin"/>
      </w:r>
      <w:r w:rsidRPr="00F42969">
        <w:rPr>
          <w:lang w:val="en-GB"/>
        </w:rPr>
        <w:instrText xml:space="preserve"> REF _Ref457291964 \h  \* MERGEFORMAT </w:instrText>
      </w:r>
      <w:r w:rsidRPr="00F42969">
        <w:rPr>
          <w:lang w:val="en-GB"/>
        </w:rPr>
      </w:r>
      <w:r w:rsidRPr="00F42969">
        <w:rPr>
          <w:lang w:val="en-GB"/>
        </w:rPr>
        <w:fldChar w:fldCharType="separate"/>
      </w:r>
      <w:r w:rsidRPr="0096562F">
        <w:t xml:space="preserve">Figure </w:t>
      </w:r>
      <w:r w:rsidRPr="0096562F">
        <w:rPr>
          <w:noProof/>
        </w:rPr>
        <w:t>2</w:t>
      </w:r>
      <w:r w:rsidRPr="00F42969">
        <w:rPr>
          <w:lang w:val="en-GB"/>
        </w:rPr>
        <w:fldChar w:fldCharType="end"/>
      </w:r>
      <w:r w:rsidRPr="00F42969">
        <w:rPr>
          <w:lang w:val="en-GB"/>
        </w:rPr>
        <w:t>.</w:t>
      </w:r>
      <w:r>
        <w:rPr>
          <w:lang w:val="en-GB"/>
        </w:rPr>
        <w:t xml:space="preserve">  </w:t>
      </w:r>
    </w:p>
    <w:p w14:paraId="2EA39190" w14:textId="77777777" w:rsidR="006034B0" w:rsidRDefault="006034B0" w:rsidP="006034B0">
      <w:pPr>
        <w:jc w:val="center"/>
      </w:pPr>
      <w:r>
        <w:object w:dxaOrig="6946" w:dyaOrig="4404" w14:anchorId="620E643C">
          <v:shape id="_x0000_i1026" type="#_x0000_t75" style="width:347.25pt;height:220.5pt" o:ole="">
            <v:imagedata r:id="rId15" o:title=""/>
          </v:shape>
          <o:OLEObject Type="Embed" ProgID="Visio.Drawing.11" ShapeID="_x0000_i1026" DrawAspect="Content" ObjectID="_1551877930" r:id="rId16"/>
        </w:object>
      </w:r>
    </w:p>
    <w:p w14:paraId="541400A0" w14:textId="77777777" w:rsidR="006034B0" w:rsidRDefault="006034B0" w:rsidP="006034B0">
      <w:pPr>
        <w:pStyle w:val="Caption"/>
        <w:jc w:val="center"/>
        <w:rPr>
          <w:b w:val="0"/>
        </w:rPr>
      </w:pPr>
      <w:bookmarkStart w:id="4" w:name="_Ref457291964"/>
      <w:bookmarkStart w:id="5" w:name="_Ref457291957"/>
      <w:r w:rsidRPr="00F42969">
        <w:rPr>
          <w:b w:val="0"/>
        </w:rPr>
        <w:t xml:space="preserve">Figure </w:t>
      </w:r>
      <w:r w:rsidRPr="00F42969">
        <w:rPr>
          <w:b w:val="0"/>
        </w:rPr>
        <w:fldChar w:fldCharType="begin"/>
      </w:r>
      <w:r w:rsidRPr="00F42969">
        <w:rPr>
          <w:b w:val="0"/>
        </w:rPr>
        <w:instrText xml:space="preserve"> SEQ Figure \* ARABIC </w:instrText>
      </w:r>
      <w:r w:rsidRPr="00F42969">
        <w:rPr>
          <w:b w:val="0"/>
        </w:rPr>
        <w:fldChar w:fldCharType="separate"/>
      </w:r>
      <w:r>
        <w:rPr>
          <w:b w:val="0"/>
          <w:noProof/>
        </w:rPr>
        <w:t>2</w:t>
      </w:r>
      <w:r w:rsidRPr="00F42969">
        <w:rPr>
          <w:b w:val="0"/>
        </w:rPr>
        <w:fldChar w:fldCharType="end"/>
      </w:r>
      <w:bookmarkEnd w:id="4"/>
      <w:r w:rsidRPr="00F42969">
        <w:rPr>
          <w:b w:val="0"/>
        </w:rPr>
        <w:t>: Coexistence of shortened TTI and Legacy 1ms users</w:t>
      </w:r>
      <w:bookmarkEnd w:id="5"/>
    </w:p>
    <w:p w14:paraId="1E68E6A0" w14:textId="77777777" w:rsidR="006034B0" w:rsidRPr="00D036BD" w:rsidRDefault="006034B0" w:rsidP="006034B0">
      <w:pPr>
        <w:jc w:val="both"/>
      </w:pPr>
    </w:p>
    <w:p w14:paraId="51A159EA" w14:textId="77777777" w:rsidR="006034B0" w:rsidRPr="006034B0" w:rsidRDefault="006034B0" w:rsidP="006034B0">
      <w:pPr>
        <w:jc w:val="both"/>
      </w:pPr>
      <w:r w:rsidRPr="006034B0">
        <w:t xml:space="preserve">For this case, a transmission is made in the legacy PDCCH region that can indicate legacy 1ms PDSCH resources used within the </w:t>
      </w:r>
      <w:proofErr w:type="spellStart"/>
      <w:r w:rsidRPr="006034B0">
        <w:t>subframe</w:t>
      </w:r>
      <w:proofErr w:type="spellEnd"/>
      <w:r w:rsidRPr="006034B0">
        <w:t xml:space="preserve">. A low latency user can receive this information at the start of the </w:t>
      </w:r>
      <w:proofErr w:type="spellStart"/>
      <w:r w:rsidRPr="006034B0">
        <w:t>subframe</w:t>
      </w:r>
      <w:proofErr w:type="spellEnd"/>
      <w:r w:rsidRPr="006034B0">
        <w:t xml:space="preserve">, and if assigned a </w:t>
      </w:r>
      <w:proofErr w:type="spellStart"/>
      <w:r w:rsidRPr="006034B0">
        <w:t>sTTI</w:t>
      </w:r>
      <w:proofErr w:type="spellEnd"/>
      <w:r w:rsidRPr="006034B0">
        <w:t xml:space="preserve"> transmission during the </w:t>
      </w:r>
      <w:proofErr w:type="spellStart"/>
      <w:r w:rsidRPr="006034B0">
        <w:t>subframe</w:t>
      </w:r>
      <w:proofErr w:type="spellEnd"/>
      <w:r w:rsidRPr="006034B0">
        <w:t xml:space="preserve"> comprising a set of </w:t>
      </w:r>
      <w:proofErr w:type="spellStart"/>
      <w:r w:rsidRPr="006034B0">
        <w:t>sTTI</w:t>
      </w:r>
      <w:proofErr w:type="spellEnd"/>
      <w:r w:rsidRPr="006034B0">
        <w:t xml:space="preserve"> resource blocks, will rate-match around the legacy PDSCH allocation when receiving both the </w:t>
      </w:r>
      <w:proofErr w:type="spellStart"/>
      <w:r w:rsidRPr="006034B0">
        <w:t>sPDCCH</w:t>
      </w:r>
      <w:proofErr w:type="spellEnd"/>
      <w:r w:rsidRPr="006034B0">
        <w:t xml:space="preserve"> and </w:t>
      </w:r>
      <w:proofErr w:type="spellStart"/>
      <w:r w:rsidRPr="006034B0">
        <w:t>sPDSCH</w:t>
      </w:r>
      <w:proofErr w:type="spellEnd"/>
      <w:r w:rsidRPr="006034B0">
        <w:t xml:space="preserve"> channels. This methodology effectively handles these collision cases between legacy and low latency users, at the expense of additional PDCCH overhead.  To mitigate the overhead and in light of the fact that the scheduling of legacy 1-ms may be </w:t>
      </w:r>
      <w:proofErr w:type="spellStart"/>
      <w:r w:rsidRPr="006034B0">
        <w:t>bursty</w:t>
      </w:r>
      <w:proofErr w:type="spellEnd"/>
      <w:r w:rsidRPr="006034B0">
        <w:t xml:space="preserve"> and may persist for a certain duration, the legacy resource information that is sent on the PDCCH can be configured to be sent with a particular periodicity. The magnitude of the periodicity can be correlated to how dynamic the DL legacy PDSCH resource allocation is at the </w:t>
      </w:r>
      <w:proofErr w:type="spellStart"/>
      <w:r w:rsidRPr="006034B0">
        <w:t>eNB</w:t>
      </w:r>
      <w:proofErr w:type="spellEnd"/>
      <w:r w:rsidRPr="006034B0">
        <w:t xml:space="preserve">. In addition, the </w:t>
      </w:r>
      <w:proofErr w:type="spellStart"/>
      <w:r w:rsidRPr="006034B0">
        <w:t>sPDCCH</w:t>
      </w:r>
      <w:proofErr w:type="spellEnd"/>
      <w:r w:rsidRPr="006034B0">
        <w:t xml:space="preserve"> and </w:t>
      </w:r>
      <w:proofErr w:type="spellStart"/>
      <w:r w:rsidRPr="006034B0">
        <w:t>sPDSCH</w:t>
      </w:r>
      <w:proofErr w:type="spellEnd"/>
      <w:r w:rsidRPr="006034B0">
        <w:t xml:space="preserve"> will also rate match around the common signals, CRS/PSS/SSS/PBCH, as well as other RBs that are reserved via RRC signaling, such as NB-IOT resource allocations. </w:t>
      </w:r>
    </w:p>
    <w:p w14:paraId="3E8F63A4" w14:textId="32128F1A" w:rsidR="006034B0" w:rsidRDefault="00DC4A38" w:rsidP="00FB578A">
      <w:pPr>
        <w:jc w:val="both"/>
        <w:rPr>
          <w:b/>
          <w:lang w:val="en-GB"/>
        </w:rPr>
      </w:pPr>
      <w:r>
        <w:rPr>
          <w:b/>
          <w:lang w:val="en-GB"/>
        </w:rPr>
        <w:t>Proposal 4</w:t>
      </w:r>
      <w:r w:rsidR="006034B0" w:rsidRPr="006034B0">
        <w:rPr>
          <w:b/>
          <w:lang w:val="en-GB"/>
        </w:rPr>
        <w:t xml:space="preserve">: To efficiently support simultaneous legacy and low latency transmissions, information indicating the legacy resource usage within the </w:t>
      </w:r>
      <w:proofErr w:type="spellStart"/>
      <w:r w:rsidR="006034B0" w:rsidRPr="006034B0">
        <w:rPr>
          <w:b/>
          <w:lang w:val="en-GB"/>
        </w:rPr>
        <w:t>subframe</w:t>
      </w:r>
      <w:proofErr w:type="spellEnd"/>
      <w:r w:rsidR="006034B0" w:rsidRPr="006034B0">
        <w:rPr>
          <w:b/>
          <w:lang w:val="en-GB"/>
        </w:rPr>
        <w:t xml:space="preserve"> can be a combination of a dynamic PDCCH transmission with a preconfigured periodicity and a semi-static configuration. The low latency users can use this to rate match around these used legacy resources.</w:t>
      </w:r>
    </w:p>
    <w:p w14:paraId="4E86A4F9" w14:textId="77777777" w:rsidR="006034B0" w:rsidRDefault="006034B0" w:rsidP="006034B0">
      <w:pPr>
        <w:pStyle w:val="Heading3"/>
        <w:keepNext/>
        <w:keepLines/>
        <w:numPr>
          <w:ilvl w:val="1"/>
          <w:numId w:val="44"/>
        </w:numPr>
        <w:jc w:val="both"/>
      </w:pPr>
      <w:r>
        <w:t xml:space="preserve">   TBS Scaling for </w:t>
      </w:r>
      <w:proofErr w:type="spellStart"/>
      <w:r>
        <w:t>sTTI</w:t>
      </w:r>
      <w:proofErr w:type="spellEnd"/>
      <w:r>
        <w:t xml:space="preserve"> Operation</w:t>
      </w:r>
    </w:p>
    <w:p w14:paraId="27491B7E" w14:textId="77777777" w:rsidR="00171FD2" w:rsidRDefault="00093618" w:rsidP="00093618">
      <w:pPr>
        <w:jc w:val="both"/>
        <w:rPr>
          <w:lang w:val="en-GB"/>
        </w:rPr>
      </w:pPr>
      <w:r w:rsidRPr="00093618">
        <w:rPr>
          <w:lang w:val="en-GB"/>
        </w:rPr>
        <w:t xml:space="preserve">For the case of 2-symbol </w:t>
      </w:r>
      <w:proofErr w:type="spellStart"/>
      <w:r w:rsidRPr="00093618">
        <w:rPr>
          <w:lang w:val="en-GB"/>
        </w:rPr>
        <w:t>sTTI</w:t>
      </w:r>
      <w:proofErr w:type="spellEnd"/>
      <w:r w:rsidRPr="00093618">
        <w:rPr>
          <w:lang w:val="en-GB"/>
        </w:rPr>
        <w:t xml:space="preserve">, the allocation duration is now 7 time shorter on average relative to the 1 </w:t>
      </w:r>
      <w:proofErr w:type="spellStart"/>
      <w:r w:rsidRPr="00093618">
        <w:rPr>
          <w:lang w:val="en-GB"/>
        </w:rPr>
        <w:t>ms</w:t>
      </w:r>
      <w:proofErr w:type="spellEnd"/>
      <w:r w:rsidRPr="00093618">
        <w:rPr>
          <w:lang w:val="en-GB"/>
        </w:rPr>
        <w:t xml:space="preserve"> legacy transmission. Therefore using the legacy TBS block sizing as is would incorrectly assume that there are more RE’s that are available than there actually would be. Clearly, one alternative is to create a new transport block size table specifically for 2-symbol </w:t>
      </w:r>
      <w:proofErr w:type="spellStart"/>
      <w:r w:rsidRPr="00093618">
        <w:rPr>
          <w:lang w:val="en-GB"/>
        </w:rPr>
        <w:t>sTTI</w:t>
      </w:r>
      <w:proofErr w:type="spellEnd"/>
      <w:r w:rsidRPr="00093618">
        <w:rPr>
          <w:lang w:val="en-GB"/>
        </w:rPr>
        <w:t xml:space="preserve"> allocations which maps MCS and PRB size to a revised transport block size. A simpler alternative is to scale the PRB size such that one may access the existing transport block sizing table</w:t>
      </w:r>
      <w:r w:rsidR="00171FD2">
        <w:rPr>
          <w:lang w:val="en-GB"/>
        </w:rPr>
        <w:t>.</w:t>
      </w:r>
    </w:p>
    <w:p w14:paraId="6638CE9B" w14:textId="62512357" w:rsidR="00093618" w:rsidRPr="00093618" w:rsidRDefault="00171FD2" w:rsidP="00093618">
      <w:pPr>
        <w:jc w:val="both"/>
        <w:rPr>
          <w:lang w:val="en-GB"/>
        </w:rPr>
      </w:pPr>
      <w:r>
        <w:rPr>
          <w:lang w:val="en-GB"/>
        </w:rPr>
        <w:t xml:space="preserve">To do this, it should be noted that </w:t>
      </w:r>
      <w:r w:rsidR="00093618" w:rsidRPr="00093618">
        <w:rPr>
          <w:lang w:val="en-GB"/>
        </w:rPr>
        <w:t xml:space="preserve">there are approximately 6 times more REs within one 1RB of 1ms TTI as compared to 1RB of a 2-symbol </w:t>
      </w:r>
      <w:proofErr w:type="spellStart"/>
      <w:r w:rsidR="00093618" w:rsidRPr="00093618">
        <w:rPr>
          <w:lang w:val="en-GB"/>
        </w:rPr>
        <w:t>sTTI</w:t>
      </w:r>
      <w:proofErr w:type="spellEnd"/>
      <w:r w:rsidR="00093618" w:rsidRPr="00093618">
        <w:rPr>
          <w:lang w:val="en-GB"/>
        </w:rPr>
        <w:t xml:space="preserve">. Therefore, in order to use the transport block sizing table, we should divide the number of PRBs used for the 2 symbol </w:t>
      </w:r>
      <w:proofErr w:type="spellStart"/>
      <w:r w:rsidR="00093618" w:rsidRPr="00093618">
        <w:rPr>
          <w:lang w:val="en-GB"/>
        </w:rPr>
        <w:t>sTTI</w:t>
      </w:r>
      <w:proofErr w:type="spellEnd"/>
      <w:r w:rsidR="00093618" w:rsidRPr="00093618">
        <w:rPr>
          <w:lang w:val="en-GB"/>
        </w:rPr>
        <w:t xml:space="preserve"> by 6 to formulate the NPRB value to be used in the transport block size table. Given that the 2 symbol </w:t>
      </w:r>
      <w:proofErr w:type="spellStart"/>
      <w:r w:rsidR="00093618" w:rsidRPr="00093618">
        <w:rPr>
          <w:lang w:val="en-GB"/>
        </w:rPr>
        <w:t>sTTI</w:t>
      </w:r>
      <w:proofErr w:type="spellEnd"/>
      <w:r w:rsidR="00093618" w:rsidRPr="00093618">
        <w:rPr>
          <w:lang w:val="en-GB"/>
        </w:rPr>
        <w:t xml:space="preserve"> PRB sizing is not always a multiple of 6, a floor function should be placed on the division to ensure that a sufficient code rate is achieved with the selected transport block size. Also, the minimum NPRB sizing should be no smaller than 1 PRB. So given NPRB_2sym_sTTI, the NPRB value that should be used to index into the transport block size table is given as:</w:t>
      </w:r>
    </w:p>
    <w:p w14:paraId="2C5AEBF3" w14:textId="2643A93F" w:rsidR="00093618" w:rsidRPr="00093618" w:rsidRDefault="00093618" w:rsidP="00093618">
      <w:pPr>
        <w:jc w:val="center"/>
        <w:rPr>
          <w:lang w:val="en-GB"/>
        </w:rPr>
      </w:pPr>
      <w:proofErr w:type="gramStart"/>
      <w:r w:rsidRPr="00093618">
        <w:rPr>
          <w:lang w:val="en-GB"/>
        </w:rPr>
        <w:t>NPRB  =</w:t>
      </w:r>
      <w:proofErr w:type="gramEnd"/>
      <w:r w:rsidRPr="00093618">
        <w:rPr>
          <w:lang w:val="en-GB"/>
        </w:rPr>
        <w:t xml:space="preserve"> max( </w:t>
      </w:r>
      <w:r w:rsidRPr="00093618">
        <w:rPr>
          <w:lang w:val="en-GB"/>
        </w:rPr>
        <w:sym w:font="Symbol" w:char="F0EB"/>
      </w:r>
      <w:r w:rsidRPr="00093618">
        <w:rPr>
          <w:lang w:val="en-GB"/>
        </w:rPr>
        <w:t>NPRB_2sym_sTTI / 6</w:t>
      </w:r>
      <w:r w:rsidRPr="00093618">
        <w:rPr>
          <w:lang w:val="en-GB"/>
        </w:rPr>
        <w:sym w:font="Symbol" w:char="F0FB"/>
      </w:r>
      <w:r w:rsidRPr="00093618">
        <w:rPr>
          <w:lang w:val="en-GB"/>
        </w:rPr>
        <w:t>, 1)</w:t>
      </w:r>
      <w:r>
        <w:rPr>
          <w:lang w:val="en-GB"/>
        </w:rPr>
        <w:t>.</w:t>
      </w:r>
    </w:p>
    <w:p w14:paraId="371A8260" w14:textId="77777777" w:rsidR="00093618" w:rsidRPr="00093618" w:rsidRDefault="00093618" w:rsidP="00093618">
      <w:pPr>
        <w:jc w:val="both"/>
        <w:rPr>
          <w:lang w:val="en-GB"/>
        </w:rPr>
      </w:pPr>
      <w:r w:rsidRPr="00093618">
        <w:rPr>
          <w:lang w:val="en-GB"/>
        </w:rPr>
        <w:lastRenderedPageBreak/>
        <w:t xml:space="preserve">Note that for a 2-symbol </w:t>
      </w:r>
      <w:proofErr w:type="spellStart"/>
      <w:r w:rsidRPr="00093618">
        <w:rPr>
          <w:lang w:val="en-GB"/>
        </w:rPr>
        <w:t>sTTI</w:t>
      </w:r>
      <w:proofErr w:type="spellEnd"/>
      <w:r w:rsidRPr="00093618">
        <w:rPr>
          <w:lang w:val="en-GB"/>
        </w:rPr>
        <w:t xml:space="preserve">, there are different data and reference signal configurations. For the case of 3 data symbols, it is proposed to maintain the equation above, so that the soft buffer sizing and/or HARQ timing does not require an increase. For the case of </w:t>
      </w:r>
      <w:proofErr w:type="gramStart"/>
      <w:r w:rsidRPr="00093618">
        <w:rPr>
          <w:lang w:val="en-GB"/>
        </w:rPr>
        <w:t>an</w:t>
      </w:r>
      <w:proofErr w:type="gramEnd"/>
      <w:r w:rsidRPr="00093618">
        <w:rPr>
          <w:lang w:val="en-GB"/>
        </w:rPr>
        <w:t xml:space="preserve"> </w:t>
      </w:r>
      <w:proofErr w:type="spellStart"/>
      <w:r w:rsidRPr="00093618">
        <w:rPr>
          <w:lang w:val="en-GB"/>
        </w:rPr>
        <w:t>sTTI</w:t>
      </w:r>
      <w:proofErr w:type="spellEnd"/>
      <w:r w:rsidRPr="00093618">
        <w:rPr>
          <w:lang w:val="en-GB"/>
        </w:rPr>
        <w:t xml:space="preserve"> with one data symbols and one DMRS symbol, an additional scale factor of ½ should be included so that the effective code rate is normalized between the 1 and 2 data symbol cases. This scaling is given by:</w:t>
      </w:r>
    </w:p>
    <w:p w14:paraId="0F086017" w14:textId="4A4DD07A" w:rsidR="00093618" w:rsidRPr="00093618" w:rsidRDefault="00093618" w:rsidP="00093618">
      <w:pPr>
        <w:jc w:val="center"/>
        <w:rPr>
          <w:lang w:val="en-GB"/>
        </w:rPr>
      </w:pPr>
      <w:proofErr w:type="gramStart"/>
      <w:r w:rsidRPr="00093618">
        <w:rPr>
          <w:lang w:val="en-GB"/>
        </w:rPr>
        <w:t>NPRB  =</w:t>
      </w:r>
      <w:proofErr w:type="gramEnd"/>
      <w:r w:rsidRPr="00093618">
        <w:rPr>
          <w:lang w:val="en-GB"/>
        </w:rPr>
        <w:t xml:space="preserve"> max( </w:t>
      </w:r>
      <w:r w:rsidRPr="00093618">
        <w:rPr>
          <w:lang w:val="en-GB"/>
        </w:rPr>
        <w:sym w:font="Symbol" w:char="F0EB"/>
      </w:r>
      <w:r w:rsidRPr="00093618">
        <w:rPr>
          <w:lang w:val="en-GB"/>
        </w:rPr>
        <w:t>NPRB_2sym_sTTI / 12</w:t>
      </w:r>
      <w:r w:rsidRPr="00093618">
        <w:rPr>
          <w:lang w:val="en-GB"/>
        </w:rPr>
        <w:sym w:font="Symbol" w:char="F0FB"/>
      </w:r>
      <w:r w:rsidRPr="00093618">
        <w:rPr>
          <w:lang w:val="en-GB"/>
        </w:rPr>
        <w:t>, 1)</w:t>
      </w:r>
      <w:r>
        <w:rPr>
          <w:lang w:val="en-GB"/>
        </w:rPr>
        <w:t>.</w:t>
      </w:r>
    </w:p>
    <w:p w14:paraId="4F5B0335" w14:textId="77777777" w:rsidR="00093618" w:rsidRPr="00093618" w:rsidRDefault="00093618" w:rsidP="00093618">
      <w:pPr>
        <w:jc w:val="both"/>
        <w:rPr>
          <w:lang w:val="en-GB"/>
        </w:rPr>
      </w:pPr>
      <w:r w:rsidRPr="00093618">
        <w:rPr>
          <w:lang w:val="en-GB"/>
        </w:rPr>
        <w:t xml:space="preserve">Similarly for a slot based </w:t>
      </w:r>
      <w:proofErr w:type="spellStart"/>
      <w:r w:rsidRPr="00093618">
        <w:rPr>
          <w:lang w:val="en-GB"/>
        </w:rPr>
        <w:t>sTTI</w:t>
      </w:r>
      <w:proofErr w:type="spellEnd"/>
      <w:r w:rsidRPr="00093618">
        <w:rPr>
          <w:lang w:val="en-GB"/>
        </w:rPr>
        <w:t>, the scaling will use a factor of 1/2:</w:t>
      </w:r>
    </w:p>
    <w:p w14:paraId="46E4E7F0" w14:textId="0CC08FF6" w:rsidR="00093618" w:rsidRPr="00093618" w:rsidRDefault="00093618" w:rsidP="00093618">
      <w:pPr>
        <w:jc w:val="center"/>
        <w:rPr>
          <w:lang w:val="en-GB"/>
        </w:rPr>
      </w:pPr>
      <w:proofErr w:type="gramStart"/>
      <w:r w:rsidRPr="00093618">
        <w:rPr>
          <w:lang w:val="en-GB"/>
        </w:rPr>
        <w:t>NPRB  =</w:t>
      </w:r>
      <w:proofErr w:type="gramEnd"/>
      <w:r w:rsidRPr="00093618">
        <w:rPr>
          <w:lang w:val="en-GB"/>
        </w:rPr>
        <w:t xml:space="preserve"> max(</w:t>
      </w:r>
      <w:r w:rsidRPr="00093618">
        <w:rPr>
          <w:lang w:val="en-GB"/>
        </w:rPr>
        <w:sym w:font="Symbol" w:char="F0EB"/>
      </w:r>
      <w:proofErr w:type="spellStart"/>
      <w:r w:rsidRPr="00093618">
        <w:rPr>
          <w:lang w:val="en-GB"/>
        </w:rPr>
        <w:t>NPRB_slot_sTTI</w:t>
      </w:r>
      <w:proofErr w:type="spellEnd"/>
      <w:r w:rsidRPr="00093618">
        <w:rPr>
          <w:lang w:val="en-GB"/>
        </w:rPr>
        <w:t xml:space="preserve"> / 2</w:t>
      </w:r>
      <w:r w:rsidRPr="00093618">
        <w:rPr>
          <w:lang w:val="en-GB"/>
        </w:rPr>
        <w:sym w:font="Symbol" w:char="F0FB"/>
      </w:r>
      <w:r w:rsidRPr="00093618">
        <w:rPr>
          <w:lang w:val="en-GB"/>
        </w:rPr>
        <w:t>, 1)</w:t>
      </w:r>
      <w:r>
        <w:rPr>
          <w:lang w:val="en-GB"/>
        </w:rPr>
        <w:t>.</w:t>
      </w:r>
    </w:p>
    <w:p w14:paraId="0D089FA1" w14:textId="4F420AB8" w:rsidR="00DC4A38" w:rsidRPr="00171FD2" w:rsidRDefault="00093618" w:rsidP="00171FD2">
      <w:pPr>
        <w:jc w:val="both"/>
        <w:rPr>
          <w:b/>
          <w:lang w:val="en-GB"/>
        </w:rPr>
      </w:pPr>
      <w:r>
        <w:rPr>
          <w:b/>
          <w:lang w:val="en-GB"/>
        </w:rPr>
        <w:t>Proposal 5</w:t>
      </w:r>
      <w:r w:rsidRPr="00093618">
        <w:rPr>
          <w:b/>
          <w:lang w:val="en-GB"/>
        </w:rPr>
        <w:t xml:space="preserve">: For TBS sizing of the 2 symbol and 1 slot </w:t>
      </w:r>
      <w:proofErr w:type="spellStart"/>
      <w:r w:rsidRPr="00093618">
        <w:rPr>
          <w:b/>
          <w:lang w:val="en-GB"/>
        </w:rPr>
        <w:t>sTTIs</w:t>
      </w:r>
      <w:proofErr w:type="spellEnd"/>
      <w:r w:rsidR="00171FD2">
        <w:rPr>
          <w:b/>
          <w:lang w:val="en-GB"/>
        </w:rPr>
        <w:t>,</w:t>
      </w:r>
      <w:r w:rsidRPr="00093618">
        <w:rPr>
          <w:b/>
          <w:lang w:val="en-GB"/>
        </w:rPr>
        <w:t xml:space="preserve"> the number of PRBs used to index the TBS block size table is determined by a floored scaling operation by a factor of 1/6 or 1/12 for the 2-symbol </w:t>
      </w:r>
      <w:proofErr w:type="spellStart"/>
      <w:r w:rsidRPr="00093618">
        <w:rPr>
          <w:b/>
          <w:lang w:val="en-GB"/>
        </w:rPr>
        <w:t>sTTI</w:t>
      </w:r>
      <w:proofErr w:type="spellEnd"/>
      <w:r w:rsidRPr="00093618">
        <w:rPr>
          <w:b/>
          <w:lang w:val="en-GB"/>
        </w:rPr>
        <w:t xml:space="preserve"> and a factor of ½ for the 1 slot </w:t>
      </w:r>
      <w:proofErr w:type="spellStart"/>
      <w:r w:rsidRPr="00093618">
        <w:rPr>
          <w:b/>
          <w:lang w:val="en-GB"/>
        </w:rPr>
        <w:t>sTTI</w:t>
      </w:r>
      <w:proofErr w:type="spellEnd"/>
      <w:r w:rsidRPr="00093618">
        <w:rPr>
          <w:b/>
          <w:lang w:val="en-GB"/>
        </w:rPr>
        <w:t xml:space="preserve"> case, on the allocation PRB size of the </w:t>
      </w:r>
      <w:proofErr w:type="spellStart"/>
      <w:r w:rsidRPr="00093618">
        <w:rPr>
          <w:b/>
          <w:lang w:val="en-GB"/>
        </w:rPr>
        <w:t>sTTI</w:t>
      </w:r>
      <w:proofErr w:type="spellEnd"/>
      <w:r w:rsidRPr="00093618">
        <w:rPr>
          <w:b/>
          <w:lang w:val="en-GB"/>
        </w:rPr>
        <w:t>.</w:t>
      </w:r>
    </w:p>
    <w:p w14:paraId="681B14B9" w14:textId="50472400" w:rsidR="006034B0" w:rsidRDefault="006034B0" w:rsidP="006034B0">
      <w:pPr>
        <w:pStyle w:val="Heading3"/>
        <w:keepNext/>
        <w:keepLines/>
        <w:numPr>
          <w:ilvl w:val="1"/>
          <w:numId w:val="44"/>
        </w:numPr>
        <w:jc w:val="both"/>
      </w:pPr>
      <w:r>
        <w:t xml:space="preserve">   Number of Supportable CWs and Layers </w:t>
      </w:r>
    </w:p>
    <w:p w14:paraId="6259DB7B" w14:textId="78E0A4F9" w:rsidR="00A637AF" w:rsidRDefault="008F3A8D" w:rsidP="00FB578A">
      <w:pPr>
        <w:jc w:val="both"/>
        <w:rPr>
          <w:lang w:val="en-GB"/>
        </w:rPr>
      </w:pPr>
      <w:r w:rsidRPr="008F3A8D">
        <w:rPr>
          <w:lang w:val="en-GB"/>
        </w:rPr>
        <w:t xml:space="preserve">In legacy LTE, depending on the configured transmission mode, up to 2 CWs and 8 layers can be supported. For each CW, MCS, NDI, and RV bit fields are considered in the DCI. </w:t>
      </w:r>
    </w:p>
    <w:p w14:paraId="58627DFA" w14:textId="5177C48E" w:rsidR="00EA7ADD" w:rsidRDefault="00EA7ADD" w:rsidP="00EA7ADD">
      <w:pPr>
        <w:jc w:val="both"/>
        <w:rPr>
          <w:lang w:val="en-GB"/>
        </w:rPr>
      </w:pPr>
      <w:r>
        <w:rPr>
          <w:lang w:val="en-GB"/>
        </w:rPr>
        <w:t>In a low latency operation, due to the fact that resources are limited, it is essential to reduce the control signalling overhead in both DL and UL. One straightforward way to do this is to limit the number of supportable CWs to only 1. With only 1 CW supported, only a 1-bit HARQ ACK/NAK per CC needs to be fed back. Hence, the added benefit of reducing the number of CWs is that the UL control overhead also reduces. Note that under this proposal, there is minimal impact on existing specifications since it is already supported to have a single CW mapped to 4-layer transmissions (although only for re-transmission). Due to these reasons, we have:</w:t>
      </w:r>
    </w:p>
    <w:p w14:paraId="2ACC8F9E" w14:textId="7B23B806" w:rsidR="008F3A8D" w:rsidRPr="008F3A8D" w:rsidRDefault="008F3A8D" w:rsidP="00FB578A">
      <w:pPr>
        <w:jc w:val="both"/>
        <w:rPr>
          <w:b/>
          <w:lang w:val="en-GB"/>
        </w:rPr>
      </w:pPr>
      <w:r w:rsidRPr="008F3A8D">
        <w:rPr>
          <w:b/>
          <w:lang w:val="en-GB"/>
        </w:rPr>
        <w:t xml:space="preserve">Proposal 6: </w:t>
      </w:r>
      <w:r w:rsidR="002F0A26">
        <w:rPr>
          <w:b/>
          <w:lang w:val="en-GB"/>
        </w:rPr>
        <w:t>Support</w:t>
      </w:r>
      <w:r w:rsidRPr="008F3A8D">
        <w:rPr>
          <w:b/>
          <w:lang w:val="en-GB"/>
        </w:rPr>
        <w:t xml:space="preserve"> only 1 CW per CC under the </w:t>
      </w:r>
      <w:proofErr w:type="spellStart"/>
      <w:r w:rsidRPr="008F3A8D">
        <w:rPr>
          <w:b/>
          <w:lang w:val="en-GB"/>
        </w:rPr>
        <w:t>sTTI</w:t>
      </w:r>
      <w:proofErr w:type="spellEnd"/>
      <w:r w:rsidRPr="008F3A8D">
        <w:rPr>
          <w:b/>
          <w:lang w:val="en-GB"/>
        </w:rPr>
        <w:t xml:space="preserve"> operation.</w:t>
      </w:r>
    </w:p>
    <w:p w14:paraId="32A8D662" w14:textId="77777777" w:rsidR="00EA7ADD" w:rsidRPr="008F3A8D" w:rsidRDefault="00EA7ADD" w:rsidP="00EA7ADD">
      <w:pPr>
        <w:jc w:val="both"/>
        <w:rPr>
          <w:lang w:val="en-GB"/>
        </w:rPr>
      </w:pPr>
      <w:r w:rsidRPr="008F3A8D">
        <w:rPr>
          <w:lang w:val="en-GB"/>
        </w:rPr>
        <w:t xml:space="preserve">Similar to the legacy LTE, under the CRS-based </w:t>
      </w:r>
      <w:proofErr w:type="spellStart"/>
      <w:r w:rsidRPr="008F3A8D">
        <w:rPr>
          <w:lang w:val="en-GB"/>
        </w:rPr>
        <w:t>sPDSCH</w:t>
      </w:r>
      <w:proofErr w:type="spellEnd"/>
      <w:r w:rsidRPr="008F3A8D">
        <w:rPr>
          <w:lang w:val="en-GB"/>
        </w:rPr>
        <w:t xml:space="preserve">, up to 4 layers can be supported. However, when a DMRS-based </w:t>
      </w:r>
      <w:proofErr w:type="spellStart"/>
      <w:r w:rsidRPr="008F3A8D">
        <w:rPr>
          <w:lang w:val="en-GB"/>
        </w:rPr>
        <w:t>sPDSCH</w:t>
      </w:r>
      <w:proofErr w:type="spellEnd"/>
      <w:r w:rsidRPr="008F3A8D">
        <w:rPr>
          <w:lang w:val="en-GB"/>
        </w:rPr>
        <w:t xml:space="preserve"> is configured, the overhead of enabling 8 layers is significant. Hence, in this case, the number of supportable layers may also be set to 4</w:t>
      </w:r>
      <w:r>
        <w:rPr>
          <w:lang w:val="en-GB"/>
        </w:rPr>
        <w:t xml:space="preserve">, especially considering only one CW is supported for </w:t>
      </w:r>
      <w:proofErr w:type="spellStart"/>
      <w:r>
        <w:rPr>
          <w:lang w:val="en-GB"/>
        </w:rPr>
        <w:t>sTTI</w:t>
      </w:r>
      <w:proofErr w:type="spellEnd"/>
      <w:r>
        <w:rPr>
          <w:lang w:val="en-GB"/>
        </w:rPr>
        <w:t>.</w:t>
      </w:r>
    </w:p>
    <w:p w14:paraId="0AE3EE92" w14:textId="0711D509" w:rsidR="008F3A8D" w:rsidRDefault="00DE736E" w:rsidP="00FB578A">
      <w:pPr>
        <w:jc w:val="both"/>
        <w:rPr>
          <w:b/>
          <w:lang w:val="en-GB"/>
        </w:rPr>
      </w:pPr>
      <w:r>
        <w:rPr>
          <w:b/>
          <w:lang w:val="en-GB"/>
        </w:rPr>
        <w:t xml:space="preserve">Proposal 7: The maximum number of layers can be set to 4 under both CRS-based and DMRS-based </w:t>
      </w:r>
      <w:proofErr w:type="spellStart"/>
      <w:r>
        <w:rPr>
          <w:b/>
          <w:lang w:val="en-GB"/>
        </w:rPr>
        <w:t>sPDSCHs</w:t>
      </w:r>
      <w:proofErr w:type="spellEnd"/>
      <w:r>
        <w:rPr>
          <w:b/>
          <w:lang w:val="en-GB"/>
        </w:rPr>
        <w:t>.</w:t>
      </w:r>
    </w:p>
    <w:p w14:paraId="71FE880D" w14:textId="08AADA39" w:rsidR="00D61F29" w:rsidRDefault="00D61F29" w:rsidP="00FB578A">
      <w:pPr>
        <w:jc w:val="both"/>
        <w:rPr>
          <w:lang w:val="en-GB"/>
        </w:rPr>
      </w:pPr>
      <w:r w:rsidRPr="005B533B">
        <w:rPr>
          <w:lang w:val="en-GB"/>
        </w:rPr>
        <w:t>Further, in order to allow for a more flexible link adaptation, a layer-dependent MCS allocation scheme can be considered. In particular, although the coding rate is the same, different layers may be sent via different modulation order</w:t>
      </w:r>
      <w:r w:rsidR="00A53EF2">
        <w:rPr>
          <w:lang w:val="en-GB"/>
        </w:rPr>
        <w:t>s</w:t>
      </w:r>
      <w:r w:rsidRPr="005B533B">
        <w:rPr>
          <w:lang w:val="en-GB"/>
        </w:rPr>
        <w:t>. For the purpose of indication, the MCS of one layer can be explicitly communicated, while an offset is sent via sDCI1 to determine the modulation order of other layers.</w:t>
      </w:r>
    </w:p>
    <w:p w14:paraId="0944A107" w14:textId="0901295D" w:rsidR="00D61F29" w:rsidRPr="00D61F29" w:rsidRDefault="00D61F29" w:rsidP="00FB578A">
      <w:pPr>
        <w:jc w:val="both"/>
        <w:rPr>
          <w:b/>
          <w:lang w:val="en-GB"/>
        </w:rPr>
      </w:pPr>
      <w:r w:rsidRPr="005B533B">
        <w:rPr>
          <w:b/>
          <w:lang w:val="en-GB"/>
        </w:rPr>
        <w:t>Proposal 8: Consider adopting a layer-dependent MCS allocation in low latency systems.</w:t>
      </w:r>
    </w:p>
    <w:p w14:paraId="2F77E7C7" w14:textId="3605C8B0" w:rsidR="00491EEE" w:rsidRDefault="0029664A" w:rsidP="00843B71">
      <w:pPr>
        <w:pStyle w:val="Heading1"/>
        <w:jc w:val="both"/>
      </w:pPr>
      <w:r>
        <w:t>3</w:t>
      </w:r>
      <w:r w:rsidR="00491EEE" w:rsidRPr="00E05A22">
        <w:tab/>
        <w:t xml:space="preserve">Conclusions </w:t>
      </w:r>
    </w:p>
    <w:p w14:paraId="4F67B46D" w14:textId="31A9AAD5" w:rsidR="00EA7ADD" w:rsidRDefault="00EA7ADD" w:rsidP="00EA7ADD">
      <w:pPr>
        <w:jc w:val="both"/>
        <w:rPr>
          <w:b/>
          <w:lang w:val="en-GB"/>
        </w:rPr>
      </w:pPr>
      <w:r w:rsidRPr="006034B0">
        <w:rPr>
          <w:b/>
          <w:lang w:val="en-GB"/>
        </w:rPr>
        <w:t xml:space="preserve">Proposal 1: The agreement made in RAN1 #87 regarding the handling of unicast PDSCH and </w:t>
      </w:r>
      <w:proofErr w:type="spellStart"/>
      <w:r w:rsidRPr="006034B0">
        <w:rPr>
          <w:b/>
          <w:lang w:val="en-GB"/>
        </w:rPr>
        <w:t>sPDSCH</w:t>
      </w:r>
      <w:proofErr w:type="spellEnd"/>
      <w:r w:rsidRPr="006034B0">
        <w:rPr>
          <w:b/>
          <w:lang w:val="en-GB"/>
        </w:rPr>
        <w:t xml:space="preserve"> </w:t>
      </w:r>
      <w:r>
        <w:rPr>
          <w:b/>
          <w:lang w:val="en-GB"/>
        </w:rPr>
        <w:t>should</w:t>
      </w:r>
      <w:r w:rsidRPr="006034B0">
        <w:rPr>
          <w:b/>
          <w:lang w:val="en-GB"/>
        </w:rPr>
        <w:t xml:space="preserve"> </w:t>
      </w:r>
      <w:r>
        <w:rPr>
          <w:b/>
          <w:lang w:val="en-GB"/>
        </w:rPr>
        <w:t>be revised</w:t>
      </w:r>
      <w:r w:rsidRPr="006034B0">
        <w:rPr>
          <w:b/>
          <w:lang w:val="en-GB"/>
        </w:rPr>
        <w:t xml:space="preserve"> </w:t>
      </w:r>
      <w:r>
        <w:rPr>
          <w:b/>
          <w:lang w:val="en-GB"/>
        </w:rPr>
        <w:t>by introducing</w:t>
      </w:r>
      <w:r w:rsidRPr="006034B0">
        <w:rPr>
          <w:b/>
          <w:lang w:val="en-GB"/>
        </w:rPr>
        <w:t xml:space="preserve"> some limitation</w:t>
      </w:r>
      <w:r>
        <w:rPr>
          <w:b/>
          <w:lang w:val="en-GB"/>
        </w:rPr>
        <w:t>s</w:t>
      </w:r>
      <w:r w:rsidRPr="006034B0">
        <w:rPr>
          <w:b/>
          <w:lang w:val="en-GB"/>
        </w:rPr>
        <w:t xml:space="preserve"> to enable an efficient</w:t>
      </w:r>
      <w:r>
        <w:rPr>
          <w:b/>
          <w:lang w:val="en-GB"/>
        </w:rPr>
        <w:t xml:space="preserve"> processing/decoding of different services with different TTI lengths.</w:t>
      </w:r>
      <w:r w:rsidRPr="006034B0">
        <w:rPr>
          <w:b/>
          <w:lang w:val="en-GB"/>
        </w:rPr>
        <w:t xml:space="preserve"> </w:t>
      </w:r>
    </w:p>
    <w:p w14:paraId="3D7DD980" w14:textId="77777777" w:rsidR="00DC4A38" w:rsidRDefault="00DC4A38" w:rsidP="00DC4A38">
      <w:pPr>
        <w:jc w:val="both"/>
        <w:rPr>
          <w:b/>
        </w:rPr>
      </w:pPr>
      <w:r>
        <w:rPr>
          <w:b/>
        </w:rPr>
        <w:t>Proposal 2</w:t>
      </w:r>
      <w:r w:rsidRPr="006034B0">
        <w:rPr>
          <w:b/>
        </w:rPr>
        <w:t xml:space="preserve">: A block based </w:t>
      </w:r>
      <w:proofErr w:type="spellStart"/>
      <w:r w:rsidRPr="006034B0">
        <w:rPr>
          <w:b/>
        </w:rPr>
        <w:t>sTTI</w:t>
      </w:r>
      <w:proofErr w:type="spellEnd"/>
      <w:r w:rsidRPr="006034B0">
        <w:rPr>
          <w:b/>
        </w:rPr>
        <w:t xml:space="preserve"> design should be considered at least for the 2-symbol </w:t>
      </w:r>
      <w:proofErr w:type="spellStart"/>
      <w:r w:rsidRPr="006034B0">
        <w:rPr>
          <w:b/>
        </w:rPr>
        <w:t>sTTI</w:t>
      </w:r>
      <w:proofErr w:type="spellEnd"/>
      <w:r w:rsidRPr="006034B0">
        <w:rPr>
          <w:b/>
        </w:rPr>
        <w:t xml:space="preserve">, allowing </w:t>
      </w:r>
      <w:proofErr w:type="spellStart"/>
      <w:r w:rsidRPr="006034B0">
        <w:rPr>
          <w:b/>
        </w:rPr>
        <w:t>eNB</w:t>
      </w:r>
      <w:proofErr w:type="spellEnd"/>
      <w:r w:rsidRPr="006034B0">
        <w:rPr>
          <w:b/>
        </w:rPr>
        <w:t xml:space="preserve"> to flexibly assign one or more UEs to one or more </w:t>
      </w:r>
      <w:proofErr w:type="spellStart"/>
      <w:r w:rsidRPr="006034B0">
        <w:rPr>
          <w:b/>
        </w:rPr>
        <w:t>sTTI</w:t>
      </w:r>
      <w:proofErr w:type="spellEnd"/>
      <w:r w:rsidRPr="006034B0">
        <w:rPr>
          <w:b/>
        </w:rPr>
        <w:t xml:space="preserve"> blocks.</w:t>
      </w:r>
    </w:p>
    <w:p w14:paraId="4C30E3F6" w14:textId="77777777" w:rsidR="00DC4A38" w:rsidRPr="00775094" w:rsidRDefault="00DC4A38" w:rsidP="00DC4A38">
      <w:pPr>
        <w:jc w:val="both"/>
        <w:rPr>
          <w:b/>
        </w:rPr>
      </w:pPr>
      <w:r>
        <w:rPr>
          <w:b/>
        </w:rPr>
        <w:t>Proposal 3: The block structure can be configured via a higher layer signaling.</w:t>
      </w:r>
    </w:p>
    <w:p w14:paraId="43E48D6E" w14:textId="77777777" w:rsidR="00DC4A38" w:rsidRPr="00A95E16" w:rsidRDefault="00DC4A38" w:rsidP="00DC4A38">
      <w:pPr>
        <w:jc w:val="both"/>
        <w:rPr>
          <w:b/>
          <w:lang w:val="en-GB"/>
        </w:rPr>
      </w:pPr>
      <w:r>
        <w:rPr>
          <w:b/>
          <w:lang w:val="en-GB"/>
        </w:rPr>
        <w:t>Proposal 4</w:t>
      </w:r>
      <w:r w:rsidRPr="006034B0">
        <w:rPr>
          <w:b/>
          <w:lang w:val="en-GB"/>
        </w:rPr>
        <w:t xml:space="preserve">: To efficiently support simultaneous legacy and low latency transmissions, information indicating the legacy resource usage within the </w:t>
      </w:r>
      <w:proofErr w:type="spellStart"/>
      <w:r w:rsidRPr="006034B0">
        <w:rPr>
          <w:b/>
          <w:lang w:val="en-GB"/>
        </w:rPr>
        <w:t>subframe</w:t>
      </w:r>
      <w:proofErr w:type="spellEnd"/>
      <w:r w:rsidRPr="006034B0">
        <w:rPr>
          <w:b/>
          <w:lang w:val="en-GB"/>
        </w:rPr>
        <w:t xml:space="preserve"> can be a combination of a dynamic PDCCH transmission with a preconfigured periodicity and a semi-static configuration. The low latency users can use this to rate match around these used legacy resources.</w:t>
      </w:r>
    </w:p>
    <w:p w14:paraId="22AF0FEC" w14:textId="77777777" w:rsidR="00093618" w:rsidRPr="00093618" w:rsidRDefault="00093618" w:rsidP="00093618">
      <w:pPr>
        <w:rPr>
          <w:b/>
          <w:lang w:val="en-GB"/>
        </w:rPr>
      </w:pPr>
      <w:r>
        <w:rPr>
          <w:b/>
          <w:lang w:val="en-GB"/>
        </w:rPr>
        <w:t>Proposal 5</w:t>
      </w:r>
      <w:r w:rsidRPr="00093618">
        <w:rPr>
          <w:b/>
          <w:lang w:val="en-GB"/>
        </w:rPr>
        <w:t xml:space="preserve">: For TBS sizing of the 2 symbol and 1 slot </w:t>
      </w:r>
      <w:proofErr w:type="spellStart"/>
      <w:r w:rsidRPr="00093618">
        <w:rPr>
          <w:b/>
          <w:lang w:val="en-GB"/>
        </w:rPr>
        <w:t>sTTIs</w:t>
      </w:r>
      <w:proofErr w:type="spellEnd"/>
      <w:r w:rsidRPr="00093618">
        <w:rPr>
          <w:b/>
          <w:lang w:val="en-GB"/>
        </w:rPr>
        <w:t xml:space="preserve"> the number of PRBs used to index the TBS block size table is determined by a floored scaling operation by a factor of 1/6 or 1/12 for the 2-symbol </w:t>
      </w:r>
      <w:proofErr w:type="spellStart"/>
      <w:r w:rsidRPr="00093618">
        <w:rPr>
          <w:b/>
          <w:lang w:val="en-GB"/>
        </w:rPr>
        <w:t>sTTI</w:t>
      </w:r>
      <w:proofErr w:type="spellEnd"/>
      <w:r w:rsidRPr="00093618">
        <w:rPr>
          <w:b/>
          <w:lang w:val="en-GB"/>
        </w:rPr>
        <w:t xml:space="preserve"> and a factor of ½ for the 1 slot </w:t>
      </w:r>
      <w:proofErr w:type="spellStart"/>
      <w:r w:rsidRPr="00093618">
        <w:rPr>
          <w:b/>
          <w:lang w:val="en-GB"/>
        </w:rPr>
        <w:t>sTTI</w:t>
      </w:r>
      <w:proofErr w:type="spellEnd"/>
      <w:r w:rsidRPr="00093618">
        <w:rPr>
          <w:b/>
          <w:lang w:val="en-GB"/>
        </w:rPr>
        <w:t xml:space="preserve"> case, on the allocation PRB size of the </w:t>
      </w:r>
      <w:proofErr w:type="spellStart"/>
      <w:r w:rsidRPr="00093618">
        <w:rPr>
          <w:b/>
          <w:lang w:val="en-GB"/>
        </w:rPr>
        <w:t>sTTI</w:t>
      </w:r>
      <w:proofErr w:type="spellEnd"/>
      <w:r w:rsidRPr="00093618">
        <w:rPr>
          <w:b/>
          <w:lang w:val="en-GB"/>
        </w:rPr>
        <w:t>.</w:t>
      </w:r>
    </w:p>
    <w:p w14:paraId="096F8B45" w14:textId="77777777" w:rsidR="002F0A26" w:rsidRPr="008F3A8D" w:rsidRDefault="002F0A26" w:rsidP="002F0A26">
      <w:pPr>
        <w:jc w:val="both"/>
        <w:rPr>
          <w:b/>
          <w:lang w:val="en-GB"/>
        </w:rPr>
      </w:pPr>
      <w:r w:rsidRPr="008F3A8D">
        <w:rPr>
          <w:b/>
          <w:lang w:val="en-GB"/>
        </w:rPr>
        <w:t xml:space="preserve">Proposal 6: </w:t>
      </w:r>
      <w:r>
        <w:rPr>
          <w:b/>
          <w:lang w:val="en-GB"/>
        </w:rPr>
        <w:t>Support</w:t>
      </w:r>
      <w:r w:rsidRPr="008F3A8D">
        <w:rPr>
          <w:b/>
          <w:lang w:val="en-GB"/>
        </w:rPr>
        <w:t xml:space="preserve"> only 1 CW per CC under the </w:t>
      </w:r>
      <w:proofErr w:type="spellStart"/>
      <w:r w:rsidRPr="008F3A8D">
        <w:rPr>
          <w:b/>
          <w:lang w:val="en-GB"/>
        </w:rPr>
        <w:t>sTTI</w:t>
      </w:r>
      <w:proofErr w:type="spellEnd"/>
      <w:r w:rsidRPr="008F3A8D">
        <w:rPr>
          <w:b/>
          <w:lang w:val="en-GB"/>
        </w:rPr>
        <w:t xml:space="preserve"> operation.</w:t>
      </w:r>
    </w:p>
    <w:p w14:paraId="0117461B" w14:textId="1189983E" w:rsidR="00C77113" w:rsidRDefault="00DE736E" w:rsidP="00553FCF">
      <w:pPr>
        <w:jc w:val="both"/>
        <w:rPr>
          <w:b/>
          <w:lang w:val="en-GB"/>
        </w:rPr>
      </w:pPr>
      <w:r>
        <w:rPr>
          <w:b/>
          <w:lang w:val="en-GB"/>
        </w:rPr>
        <w:lastRenderedPageBreak/>
        <w:t xml:space="preserve">Proposal 7: The maximum number of layers can be set to 4 under both CRS-based and DMRS-based </w:t>
      </w:r>
      <w:proofErr w:type="spellStart"/>
      <w:r>
        <w:rPr>
          <w:b/>
          <w:lang w:val="en-GB"/>
        </w:rPr>
        <w:t>sPDSCHs</w:t>
      </w:r>
      <w:proofErr w:type="spellEnd"/>
      <w:r>
        <w:rPr>
          <w:b/>
          <w:lang w:val="en-GB"/>
        </w:rPr>
        <w:t>.</w:t>
      </w:r>
    </w:p>
    <w:p w14:paraId="28746359" w14:textId="77777777" w:rsidR="00D61F29" w:rsidRPr="004F3BFE" w:rsidRDefault="00D61F29" w:rsidP="00D61F29">
      <w:pPr>
        <w:jc w:val="both"/>
        <w:rPr>
          <w:b/>
          <w:lang w:val="en-GB"/>
        </w:rPr>
      </w:pPr>
      <w:r w:rsidRPr="004F3BFE">
        <w:rPr>
          <w:b/>
          <w:lang w:val="en-GB"/>
        </w:rPr>
        <w:t>Proposal 8: Consider adopting a layer-dependent MCS allocation in low latency systems.</w:t>
      </w:r>
    </w:p>
    <w:p w14:paraId="6E1B4D61" w14:textId="77777777" w:rsidR="00D61F29" w:rsidRPr="00553FCF" w:rsidRDefault="00D61F29" w:rsidP="00553FCF">
      <w:pPr>
        <w:jc w:val="both"/>
        <w:rPr>
          <w:b/>
          <w:lang w:val="en-GB"/>
        </w:rPr>
      </w:pPr>
    </w:p>
    <w:sectPr w:rsidR="00D61F29" w:rsidRPr="00553FCF" w:rsidSect="00E054B7">
      <w:headerReference w:type="even" r:id="rId17"/>
      <w:footerReference w:type="even" r:id="rId18"/>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7DAE8" w14:textId="77777777" w:rsidR="00AE4DC1" w:rsidRDefault="00AE4DC1">
      <w:r>
        <w:separator/>
      </w:r>
    </w:p>
  </w:endnote>
  <w:endnote w:type="continuationSeparator" w:id="0">
    <w:p w14:paraId="544FF886" w14:textId="77777777" w:rsidR="00AE4DC1" w:rsidRDefault="00AE4DC1">
      <w:r>
        <w:continuationSeparator/>
      </w:r>
    </w:p>
  </w:endnote>
  <w:endnote w:type="continuationNotice" w:id="1">
    <w:p w14:paraId="1F1904CF" w14:textId="77777777" w:rsidR="00AE4DC1" w:rsidRDefault="00AE4D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e Semibold">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DC5A5E" w:rsidRDefault="00DC5A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C5A5E" w:rsidRDefault="00DC5A5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DC5A5E" w:rsidRDefault="00DC5A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E40A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40A5">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6992A" w14:textId="77777777" w:rsidR="00AE4DC1" w:rsidRDefault="00AE4DC1">
      <w:r>
        <w:separator/>
      </w:r>
    </w:p>
  </w:footnote>
  <w:footnote w:type="continuationSeparator" w:id="0">
    <w:p w14:paraId="5E9007BD" w14:textId="77777777" w:rsidR="00AE4DC1" w:rsidRDefault="00AE4DC1">
      <w:r>
        <w:continuationSeparator/>
      </w:r>
    </w:p>
  </w:footnote>
  <w:footnote w:type="continuationNotice" w:id="1">
    <w:p w14:paraId="66F3CC18" w14:textId="77777777" w:rsidR="00AE4DC1" w:rsidRDefault="00AE4DC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DC5A5E" w:rsidRDefault="00DC5A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5pt;height:15.55pt" o:bullet="t">
        <v:imagedata r:id="rId1" o:title="art2F4"/>
      </v:shape>
    </w:pict>
  </w:numPicBullet>
  <w:abstractNum w:abstractNumId="0" w15:restartNumberingAfterBreak="0">
    <w:nsid w:val="00834502"/>
    <w:multiLevelType w:val="hybridMultilevel"/>
    <w:tmpl w:val="270AF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930D4"/>
    <w:multiLevelType w:val="hybridMultilevel"/>
    <w:tmpl w:val="8012BA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E317C"/>
    <w:multiLevelType w:val="hybridMultilevel"/>
    <w:tmpl w:val="C45A57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D21BA"/>
    <w:multiLevelType w:val="hybridMultilevel"/>
    <w:tmpl w:val="1B364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11F3C"/>
    <w:multiLevelType w:val="hybridMultilevel"/>
    <w:tmpl w:val="DA3E2ACE"/>
    <w:lvl w:ilvl="0" w:tplc="A81A6AA2">
      <w:start w:val="1"/>
      <w:numFmt w:val="bullet"/>
      <w:lvlText w:val=""/>
      <w:lvlPicBulletId w:val="0"/>
      <w:lvlJc w:val="left"/>
      <w:pPr>
        <w:tabs>
          <w:tab w:val="num" w:pos="720"/>
        </w:tabs>
        <w:ind w:left="720" w:hanging="360"/>
      </w:pPr>
      <w:rPr>
        <w:rFonts w:ascii="Symbol" w:hAnsi="Symbol" w:hint="default"/>
      </w:rPr>
    </w:lvl>
    <w:lvl w:ilvl="1" w:tplc="30B268D2">
      <w:start w:val="39"/>
      <w:numFmt w:val="bullet"/>
      <w:lvlText w:val="−"/>
      <w:lvlJc w:val="left"/>
      <w:pPr>
        <w:tabs>
          <w:tab w:val="num" w:pos="1440"/>
        </w:tabs>
        <w:ind w:left="1440" w:hanging="360"/>
      </w:pPr>
      <w:rPr>
        <w:rFonts w:ascii="Calibre Regular" w:hAnsi="Calibre Regular" w:hint="default"/>
      </w:rPr>
    </w:lvl>
    <w:lvl w:ilvl="2" w:tplc="9942E634">
      <w:start w:val="39"/>
      <w:numFmt w:val="bullet"/>
      <w:lvlText w:val="−"/>
      <w:lvlJc w:val="left"/>
      <w:pPr>
        <w:tabs>
          <w:tab w:val="num" w:pos="2160"/>
        </w:tabs>
        <w:ind w:left="2160" w:hanging="360"/>
      </w:pPr>
      <w:rPr>
        <w:rFonts w:ascii="Calibre Regular" w:hAnsi="Calibre Regular" w:hint="default"/>
      </w:rPr>
    </w:lvl>
    <w:lvl w:ilvl="3" w:tplc="15AEF0D4" w:tentative="1">
      <w:start w:val="1"/>
      <w:numFmt w:val="bullet"/>
      <w:lvlText w:val=""/>
      <w:lvlPicBulletId w:val="0"/>
      <w:lvlJc w:val="left"/>
      <w:pPr>
        <w:tabs>
          <w:tab w:val="num" w:pos="2880"/>
        </w:tabs>
        <w:ind w:left="2880" w:hanging="360"/>
      </w:pPr>
      <w:rPr>
        <w:rFonts w:ascii="Symbol" w:hAnsi="Symbol" w:hint="default"/>
      </w:rPr>
    </w:lvl>
    <w:lvl w:ilvl="4" w:tplc="A2949992" w:tentative="1">
      <w:start w:val="1"/>
      <w:numFmt w:val="bullet"/>
      <w:lvlText w:val=""/>
      <w:lvlPicBulletId w:val="0"/>
      <w:lvlJc w:val="left"/>
      <w:pPr>
        <w:tabs>
          <w:tab w:val="num" w:pos="3600"/>
        </w:tabs>
        <w:ind w:left="3600" w:hanging="360"/>
      </w:pPr>
      <w:rPr>
        <w:rFonts w:ascii="Symbol" w:hAnsi="Symbol" w:hint="default"/>
      </w:rPr>
    </w:lvl>
    <w:lvl w:ilvl="5" w:tplc="E42E44AA" w:tentative="1">
      <w:start w:val="1"/>
      <w:numFmt w:val="bullet"/>
      <w:lvlText w:val=""/>
      <w:lvlPicBulletId w:val="0"/>
      <w:lvlJc w:val="left"/>
      <w:pPr>
        <w:tabs>
          <w:tab w:val="num" w:pos="4320"/>
        </w:tabs>
        <w:ind w:left="4320" w:hanging="360"/>
      </w:pPr>
      <w:rPr>
        <w:rFonts w:ascii="Symbol" w:hAnsi="Symbol" w:hint="default"/>
      </w:rPr>
    </w:lvl>
    <w:lvl w:ilvl="6" w:tplc="C324F8FA" w:tentative="1">
      <w:start w:val="1"/>
      <w:numFmt w:val="bullet"/>
      <w:lvlText w:val=""/>
      <w:lvlPicBulletId w:val="0"/>
      <w:lvlJc w:val="left"/>
      <w:pPr>
        <w:tabs>
          <w:tab w:val="num" w:pos="5040"/>
        </w:tabs>
        <w:ind w:left="5040" w:hanging="360"/>
      </w:pPr>
      <w:rPr>
        <w:rFonts w:ascii="Symbol" w:hAnsi="Symbol" w:hint="default"/>
      </w:rPr>
    </w:lvl>
    <w:lvl w:ilvl="7" w:tplc="18AAA3C2" w:tentative="1">
      <w:start w:val="1"/>
      <w:numFmt w:val="bullet"/>
      <w:lvlText w:val=""/>
      <w:lvlPicBulletId w:val="0"/>
      <w:lvlJc w:val="left"/>
      <w:pPr>
        <w:tabs>
          <w:tab w:val="num" w:pos="5760"/>
        </w:tabs>
        <w:ind w:left="5760" w:hanging="360"/>
      </w:pPr>
      <w:rPr>
        <w:rFonts w:ascii="Symbol" w:hAnsi="Symbol" w:hint="default"/>
      </w:rPr>
    </w:lvl>
    <w:lvl w:ilvl="8" w:tplc="BEA0820E"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D405E"/>
    <w:multiLevelType w:val="hybridMultilevel"/>
    <w:tmpl w:val="23AE359A"/>
    <w:lvl w:ilvl="0" w:tplc="BAC6D5D8">
      <w:start w:val="1"/>
      <w:numFmt w:val="bullet"/>
      <w:lvlText w:val="−"/>
      <w:lvlJc w:val="left"/>
      <w:pPr>
        <w:tabs>
          <w:tab w:val="num" w:pos="360"/>
        </w:tabs>
        <w:ind w:left="360" w:hanging="360"/>
      </w:pPr>
      <w:rPr>
        <w:rFonts w:ascii="Calibre Regular" w:hAnsi="Calibre Regular" w:hint="default"/>
      </w:rPr>
    </w:lvl>
    <w:lvl w:ilvl="1" w:tplc="769CAE34">
      <w:start w:val="1"/>
      <w:numFmt w:val="bullet"/>
      <w:lvlText w:val="−"/>
      <w:lvlJc w:val="left"/>
      <w:pPr>
        <w:tabs>
          <w:tab w:val="num" w:pos="1080"/>
        </w:tabs>
        <w:ind w:left="1080" w:hanging="360"/>
      </w:pPr>
      <w:rPr>
        <w:rFonts w:ascii="Calibre Regular" w:hAnsi="Calibre Regular" w:hint="default"/>
      </w:rPr>
    </w:lvl>
    <w:lvl w:ilvl="2" w:tplc="91A84C1A" w:tentative="1">
      <w:start w:val="1"/>
      <w:numFmt w:val="bullet"/>
      <w:lvlText w:val="−"/>
      <w:lvlJc w:val="left"/>
      <w:pPr>
        <w:tabs>
          <w:tab w:val="num" w:pos="1800"/>
        </w:tabs>
        <w:ind w:left="1800" w:hanging="360"/>
      </w:pPr>
      <w:rPr>
        <w:rFonts w:ascii="Calibre Regular" w:hAnsi="Calibre Regular" w:hint="default"/>
      </w:rPr>
    </w:lvl>
    <w:lvl w:ilvl="3" w:tplc="EE40AE26" w:tentative="1">
      <w:start w:val="1"/>
      <w:numFmt w:val="bullet"/>
      <w:lvlText w:val="−"/>
      <w:lvlJc w:val="left"/>
      <w:pPr>
        <w:tabs>
          <w:tab w:val="num" w:pos="2520"/>
        </w:tabs>
        <w:ind w:left="2520" w:hanging="360"/>
      </w:pPr>
      <w:rPr>
        <w:rFonts w:ascii="Calibre Regular" w:hAnsi="Calibre Regular" w:hint="default"/>
      </w:rPr>
    </w:lvl>
    <w:lvl w:ilvl="4" w:tplc="775EC060" w:tentative="1">
      <w:start w:val="1"/>
      <w:numFmt w:val="bullet"/>
      <w:lvlText w:val="−"/>
      <w:lvlJc w:val="left"/>
      <w:pPr>
        <w:tabs>
          <w:tab w:val="num" w:pos="3240"/>
        </w:tabs>
        <w:ind w:left="3240" w:hanging="360"/>
      </w:pPr>
      <w:rPr>
        <w:rFonts w:ascii="Calibre Regular" w:hAnsi="Calibre Regular" w:hint="default"/>
      </w:rPr>
    </w:lvl>
    <w:lvl w:ilvl="5" w:tplc="A2449610" w:tentative="1">
      <w:start w:val="1"/>
      <w:numFmt w:val="bullet"/>
      <w:lvlText w:val="−"/>
      <w:lvlJc w:val="left"/>
      <w:pPr>
        <w:tabs>
          <w:tab w:val="num" w:pos="3960"/>
        </w:tabs>
        <w:ind w:left="3960" w:hanging="360"/>
      </w:pPr>
      <w:rPr>
        <w:rFonts w:ascii="Calibre Regular" w:hAnsi="Calibre Regular" w:hint="default"/>
      </w:rPr>
    </w:lvl>
    <w:lvl w:ilvl="6" w:tplc="5DA4C6A4" w:tentative="1">
      <w:start w:val="1"/>
      <w:numFmt w:val="bullet"/>
      <w:lvlText w:val="−"/>
      <w:lvlJc w:val="left"/>
      <w:pPr>
        <w:tabs>
          <w:tab w:val="num" w:pos="4680"/>
        </w:tabs>
        <w:ind w:left="4680" w:hanging="360"/>
      </w:pPr>
      <w:rPr>
        <w:rFonts w:ascii="Calibre Regular" w:hAnsi="Calibre Regular" w:hint="default"/>
      </w:rPr>
    </w:lvl>
    <w:lvl w:ilvl="7" w:tplc="1AAE0194" w:tentative="1">
      <w:start w:val="1"/>
      <w:numFmt w:val="bullet"/>
      <w:lvlText w:val="−"/>
      <w:lvlJc w:val="left"/>
      <w:pPr>
        <w:tabs>
          <w:tab w:val="num" w:pos="5400"/>
        </w:tabs>
        <w:ind w:left="5400" w:hanging="360"/>
      </w:pPr>
      <w:rPr>
        <w:rFonts w:ascii="Calibre Regular" w:hAnsi="Calibre Regular" w:hint="default"/>
      </w:rPr>
    </w:lvl>
    <w:lvl w:ilvl="8" w:tplc="E4E23ABA" w:tentative="1">
      <w:start w:val="1"/>
      <w:numFmt w:val="bullet"/>
      <w:lvlText w:val="−"/>
      <w:lvlJc w:val="left"/>
      <w:pPr>
        <w:tabs>
          <w:tab w:val="num" w:pos="6120"/>
        </w:tabs>
        <w:ind w:left="6120" w:hanging="360"/>
      </w:pPr>
      <w:rPr>
        <w:rFonts w:ascii="Calibre Regular" w:hAnsi="Calibre Regular" w:hint="default"/>
      </w:rPr>
    </w:lvl>
  </w:abstractNum>
  <w:abstractNum w:abstractNumId="10"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442E5A"/>
    <w:multiLevelType w:val="hybridMultilevel"/>
    <w:tmpl w:val="2BA6FF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F78CF"/>
    <w:multiLevelType w:val="hybridMultilevel"/>
    <w:tmpl w:val="DDD00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451215"/>
    <w:multiLevelType w:val="hybridMultilevel"/>
    <w:tmpl w:val="4628C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132A3"/>
    <w:multiLevelType w:val="hybridMultilevel"/>
    <w:tmpl w:val="C052BD6C"/>
    <w:lvl w:ilvl="0" w:tplc="5F187870">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DB1954"/>
    <w:multiLevelType w:val="hybridMultilevel"/>
    <w:tmpl w:val="DE8E82CC"/>
    <w:lvl w:ilvl="0" w:tplc="886E733A">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007792"/>
    <w:multiLevelType w:val="hybridMultilevel"/>
    <w:tmpl w:val="B396F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7E3840"/>
    <w:multiLevelType w:val="multilevel"/>
    <w:tmpl w:val="BA469614"/>
    <w:lvl w:ilvl="0">
      <w:start w:val="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B601F8"/>
    <w:multiLevelType w:val="hybridMultilevel"/>
    <w:tmpl w:val="87DEA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DB28EB"/>
    <w:multiLevelType w:val="hybridMultilevel"/>
    <w:tmpl w:val="B0AE716A"/>
    <w:lvl w:ilvl="0" w:tplc="0122CE9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682327"/>
    <w:multiLevelType w:val="hybridMultilevel"/>
    <w:tmpl w:val="A43CFD82"/>
    <w:lvl w:ilvl="0" w:tplc="0AC474F4">
      <w:start w:val="1"/>
      <w:numFmt w:val="bullet"/>
      <w:lvlText w:val=""/>
      <w:lvlPicBulletId w:val="0"/>
      <w:lvlJc w:val="left"/>
      <w:pPr>
        <w:tabs>
          <w:tab w:val="num" w:pos="720"/>
        </w:tabs>
        <w:ind w:left="720" w:hanging="360"/>
      </w:pPr>
      <w:rPr>
        <w:rFonts w:ascii="Symbol" w:hAnsi="Symbol" w:hint="default"/>
      </w:rPr>
    </w:lvl>
    <w:lvl w:ilvl="1" w:tplc="2A30C4E4">
      <w:start w:val="39"/>
      <w:numFmt w:val="bullet"/>
      <w:lvlText w:val="−"/>
      <w:lvlJc w:val="left"/>
      <w:pPr>
        <w:tabs>
          <w:tab w:val="num" w:pos="1440"/>
        </w:tabs>
        <w:ind w:left="1440" w:hanging="360"/>
      </w:pPr>
      <w:rPr>
        <w:rFonts w:ascii="Calibre Regular" w:hAnsi="Calibre Regular" w:hint="default"/>
      </w:rPr>
    </w:lvl>
    <w:lvl w:ilvl="2" w:tplc="D36A1F52" w:tentative="1">
      <w:start w:val="1"/>
      <w:numFmt w:val="bullet"/>
      <w:lvlText w:val=""/>
      <w:lvlPicBulletId w:val="0"/>
      <w:lvlJc w:val="left"/>
      <w:pPr>
        <w:tabs>
          <w:tab w:val="num" w:pos="2160"/>
        </w:tabs>
        <w:ind w:left="2160" w:hanging="360"/>
      </w:pPr>
      <w:rPr>
        <w:rFonts w:ascii="Symbol" w:hAnsi="Symbol" w:hint="default"/>
      </w:rPr>
    </w:lvl>
    <w:lvl w:ilvl="3" w:tplc="DBC241D0" w:tentative="1">
      <w:start w:val="1"/>
      <w:numFmt w:val="bullet"/>
      <w:lvlText w:val=""/>
      <w:lvlPicBulletId w:val="0"/>
      <w:lvlJc w:val="left"/>
      <w:pPr>
        <w:tabs>
          <w:tab w:val="num" w:pos="2880"/>
        </w:tabs>
        <w:ind w:left="2880" w:hanging="360"/>
      </w:pPr>
      <w:rPr>
        <w:rFonts w:ascii="Symbol" w:hAnsi="Symbol" w:hint="default"/>
      </w:rPr>
    </w:lvl>
    <w:lvl w:ilvl="4" w:tplc="256635C6" w:tentative="1">
      <w:start w:val="1"/>
      <w:numFmt w:val="bullet"/>
      <w:lvlText w:val=""/>
      <w:lvlPicBulletId w:val="0"/>
      <w:lvlJc w:val="left"/>
      <w:pPr>
        <w:tabs>
          <w:tab w:val="num" w:pos="3600"/>
        </w:tabs>
        <w:ind w:left="3600" w:hanging="360"/>
      </w:pPr>
      <w:rPr>
        <w:rFonts w:ascii="Symbol" w:hAnsi="Symbol" w:hint="default"/>
      </w:rPr>
    </w:lvl>
    <w:lvl w:ilvl="5" w:tplc="3AF67A42" w:tentative="1">
      <w:start w:val="1"/>
      <w:numFmt w:val="bullet"/>
      <w:lvlText w:val=""/>
      <w:lvlPicBulletId w:val="0"/>
      <w:lvlJc w:val="left"/>
      <w:pPr>
        <w:tabs>
          <w:tab w:val="num" w:pos="4320"/>
        </w:tabs>
        <w:ind w:left="4320" w:hanging="360"/>
      </w:pPr>
      <w:rPr>
        <w:rFonts w:ascii="Symbol" w:hAnsi="Symbol" w:hint="default"/>
      </w:rPr>
    </w:lvl>
    <w:lvl w:ilvl="6" w:tplc="910A96D6" w:tentative="1">
      <w:start w:val="1"/>
      <w:numFmt w:val="bullet"/>
      <w:lvlText w:val=""/>
      <w:lvlPicBulletId w:val="0"/>
      <w:lvlJc w:val="left"/>
      <w:pPr>
        <w:tabs>
          <w:tab w:val="num" w:pos="5040"/>
        </w:tabs>
        <w:ind w:left="5040" w:hanging="360"/>
      </w:pPr>
      <w:rPr>
        <w:rFonts w:ascii="Symbol" w:hAnsi="Symbol" w:hint="default"/>
      </w:rPr>
    </w:lvl>
    <w:lvl w:ilvl="7" w:tplc="1318BC84" w:tentative="1">
      <w:start w:val="1"/>
      <w:numFmt w:val="bullet"/>
      <w:lvlText w:val=""/>
      <w:lvlPicBulletId w:val="0"/>
      <w:lvlJc w:val="left"/>
      <w:pPr>
        <w:tabs>
          <w:tab w:val="num" w:pos="5760"/>
        </w:tabs>
        <w:ind w:left="5760" w:hanging="360"/>
      </w:pPr>
      <w:rPr>
        <w:rFonts w:ascii="Symbol" w:hAnsi="Symbol" w:hint="default"/>
      </w:rPr>
    </w:lvl>
    <w:lvl w:ilvl="8" w:tplc="89002C7E"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4ADA56D8"/>
    <w:multiLevelType w:val="hybridMultilevel"/>
    <w:tmpl w:val="79FC5F64"/>
    <w:lvl w:ilvl="0" w:tplc="C73A9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C703BC"/>
    <w:multiLevelType w:val="hybridMultilevel"/>
    <w:tmpl w:val="C1B61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BA04D1"/>
    <w:multiLevelType w:val="hybridMultilevel"/>
    <w:tmpl w:val="F9BE866C"/>
    <w:lvl w:ilvl="0" w:tplc="78861B70">
      <w:start w:val="1"/>
      <w:numFmt w:val="bullet"/>
      <w:lvlText w:val=""/>
      <w:lvlPicBulletId w:val="0"/>
      <w:lvlJc w:val="left"/>
      <w:pPr>
        <w:tabs>
          <w:tab w:val="num" w:pos="720"/>
        </w:tabs>
        <w:ind w:left="720" w:hanging="360"/>
      </w:pPr>
      <w:rPr>
        <w:rFonts w:ascii="Symbol" w:hAnsi="Symbol" w:hint="default"/>
      </w:rPr>
    </w:lvl>
    <w:lvl w:ilvl="1" w:tplc="E0BC06F4">
      <w:start w:val="39"/>
      <w:numFmt w:val="bullet"/>
      <w:lvlText w:val="−"/>
      <w:lvlJc w:val="left"/>
      <w:pPr>
        <w:tabs>
          <w:tab w:val="num" w:pos="1440"/>
        </w:tabs>
        <w:ind w:left="1440" w:hanging="360"/>
      </w:pPr>
      <w:rPr>
        <w:rFonts w:ascii="Calibre Regular" w:hAnsi="Calibre Regular" w:hint="default"/>
      </w:rPr>
    </w:lvl>
    <w:lvl w:ilvl="2" w:tplc="0A607F6C">
      <w:start w:val="39"/>
      <w:numFmt w:val="bullet"/>
      <w:lvlText w:val="−"/>
      <w:lvlJc w:val="left"/>
      <w:pPr>
        <w:tabs>
          <w:tab w:val="num" w:pos="2160"/>
        </w:tabs>
        <w:ind w:left="2160" w:hanging="360"/>
      </w:pPr>
      <w:rPr>
        <w:rFonts w:ascii="Calibre Regular" w:hAnsi="Calibre Regular" w:hint="default"/>
      </w:rPr>
    </w:lvl>
    <w:lvl w:ilvl="3" w:tplc="EB7448CE" w:tentative="1">
      <w:start w:val="1"/>
      <w:numFmt w:val="bullet"/>
      <w:lvlText w:val=""/>
      <w:lvlPicBulletId w:val="0"/>
      <w:lvlJc w:val="left"/>
      <w:pPr>
        <w:tabs>
          <w:tab w:val="num" w:pos="2880"/>
        </w:tabs>
        <w:ind w:left="2880" w:hanging="360"/>
      </w:pPr>
      <w:rPr>
        <w:rFonts w:ascii="Symbol" w:hAnsi="Symbol" w:hint="default"/>
      </w:rPr>
    </w:lvl>
    <w:lvl w:ilvl="4" w:tplc="55E8046E" w:tentative="1">
      <w:start w:val="1"/>
      <w:numFmt w:val="bullet"/>
      <w:lvlText w:val=""/>
      <w:lvlPicBulletId w:val="0"/>
      <w:lvlJc w:val="left"/>
      <w:pPr>
        <w:tabs>
          <w:tab w:val="num" w:pos="3600"/>
        </w:tabs>
        <w:ind w:left="3600" w:hanging="360"/>
      </w:pPr>
      <w:rPr>
        <w:rFonts w:ascii="Symbol" w:hAnsi="Symbol" w:hint="default"/>
      </w:rPr>
    </w:lvl>
    <w:lvl w:ilvl="5" w:tplc="45649BEE" w:tentative="1">
      <w:start w:val="1"/>
      <w:numFmt w:val="bullet"/>
      <w:lvlText w:val=""/>
      <w:lvlPicBulletId w:val="0"/>
      <w:lvlJc w:val="left"/>
      <w:pPr>
        <w:tabs>
          <w:tab w:val="num" w:pos="4320"/>
        </w:tabs>
        <w:ind w:left="4320" w:hanging="360"/>
      </w:pPr>
      <w:rPr>
        <w:rFonts w:ascii="Symbol" w:hAnsi="Symbol" w:hint="default"/>
      </w:rPr>
    </w:lvl>
    <w:lvl w:ilvl="6" w:tplc="864EE518" w:tentative="1">
      <w:start w:val="1"/>
      <w:numFmt w:val="bullet"/>
      <w:lvlText w:val=""/>
      <w:lvlPicBulletId w:val="0"/>
      <w:lvlJc w:val="left"/>
      <w:pPr>
        <w:tabs>
          <w:tab w:val="num" w:pos="5040"/>
        </w:tabs>
        <w:ind w:left="5040" w:hanging="360"/>
      </w:pPr>
      <w:rPr>
        <w:rFonts w:ascii="Symbol" w:hAnsi="Symbol" w:hint="default"/>
      </w:rPr>
    </w:lvl>
    <w:lvl w:ilvl="7" w:tplc="5BAE87EE" w:tentative="1">
      <w:start w:val="1"/>
      <w:numFmt w:val="bullet"/>
      <w:lvlText w:val=""/>
      <w:lvlPicBulletId w:val="0"/>
      <w:lvlJc w:val="left"/>
      <w:pPr>
        <w:tabs>
          <w:tab w:val="num" w:pos="5760"/>
        </w:tabs>
        <w:ind w:left="5760" w:hanging="360"/>
      </w:pPr>
      <w:rPr>
        <w:rFonts w:ascii="Symbol" w:hAnsi="Symbol" w:hint="default"/>
      </w:rPr>
    </w:lvl>
    <w:lvl w:ilvl="8" w:tplc="44D62EB6"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63463BCB"/>
    <w:multiLevelType w:val="hybridMultilevel"/>
    <w:tmpl w:val="1B247B9E"/>
    <w:lvl w:ilvl="0" w:tplc="F73AF2BE">
      <w:start w:val="1"/>
      <w:numFmt w:val="bullet"/>
      <w:lvlText w:val=""/>
      <w:lvlPicBulletId w:val="0"/>
      <w:lvlJc w:val="left"/>
      <w:pPr>
        <w:tabs>
          <w:tab w:val="num" w:pos="720"/>
        </w:tabs>
        <w:ind w:left="720" w:hanging="360"/>
      </w:pPr>
      <w:rPr>
        <w:rFonts w:ascii="Symbol" w:hAnsi="Symbol" w:hint="default"/>
      </w:rPr>
    </w:lvl>
    <w:lvl w:ilvl="1" w:tplc="22A8CCCE" w:tentative="1">
      <w:start w:val="1"/>
      <w:numFmt w:val="bullet"/>
      <w:lvlText w:val=""/>
      <w:lvlPicBulletId w:val="0"/>
      <w:lvlJc w:val="left"/>
      <w:pPr>
        <w:tabs>
          <w:tab w:val="num" w:pos="1440"/>
        </w:tabs>
        <w:ind w:left="1440" w:hanging="360"/>
      </w:pPr>
      <w:rPr>
        <w:rFonts w:ascii="Symbol" w:hAnsi="Symbol" w:hint="default"/>
      </w:rPr>
    </w:lvl>
    <w:lvl w:ilvl="2" w:tplc="714C0BDA" w:tentative="1">
      <w:start w:val="1"/>
      <w:numFmt w:val="bullet"/>
      <w:lvlText w:val=""/>
      <w:lvlPicBulletId w:val="0"/>
      <w:lvlJc w:val="left"/>
      <w:pPr>
        <w:tabs>
          <w:tab w:val="num" w:pos="2160"/>
        </w:tabs>
        <w:ind w:left="2160" w:hanging="360"/>
      </w:pPr>
      <w:rPr>
        <w:rFonts w:ascii="Symbol" w:hAnsi="Symbol" w:hint="default"/>
      </w:rPr>
    </w:lvl>
    <w:lvl w:ilvl="3" w:tplc="1702229E" w:tentative="1">
      <w:start w:val="1"/>
      <w:numFmt w:val="bullet"/>
      <w:lvlText w:val=""/>
      <w:lvlPicBulletId w:val="0"/>
      <w:lvlJc w:val="left"/>
      <w:pPr>
        <w:tabs>
          <w:tab w:val="num" w:pos="2880"/>
        </w:tabs>
        <w:ind w:left="2880" w:hanging="360"/>
      </w:pPr>
      <w:rPr>
        <w:rFonts w:ascii="Symbol" w:hAnsi="Symbol" w:hint="default"/>
      </w:rPr>
    </w:lvl>
    <w:lvl w:ilvl="4" w:tplc="7A80F7F2" w:tentative="1">
      <w:start w:val="1"/>
      <w:numFmt w:val="bullet"/>
      <w:lvlText w:val=""/>
      <w:lvlPicBulletId w:val="0"/>
      <w:lvlJc w:val="left"/>
      <w:pPr>
        <w:tabs>
          <w:tab w:val="num" w:pos="3600"/>
        </w:tabs>
        <w:ind w:left="3600" w:hanging="360"/>
      </w:pPr>
      <w:rPr>
        <w:rFonts w:ascii="Symbol" w:hAnsi="Symbol" w:hint="default"/>
      </w:rPr>
    </w:lvl>
    <w:lvl w:ilvl="5" w:tplc="90CC6A8C" w:tentative="1">
      <w:start w:val="1"/>
      <w:numFmt w:val="bullet"/>
      <w:lvlText w:val=""/>
      <w:lvlPicBulletId w:val="0"/>
      <w:lvlJc w:val="left"/>
      <w:pPr>
        <w:tabs>
          <w:tab w:val="num" w:pos="4320"/>
        </w:tabs>
        <w:ind w:left="4320" w:hanging="360"/>
      </w:pPr>
      <w:rPr>
        <w:rFonts w:ascii="Symbol" w:hAnsi="Symbol" w:hint="default"/>
      </w:rPr>
    </w:lvl>
    <w:lvl w:ilvl="6" w:tplc="0A9EC8B8" w:tentative="1">
      <w:start w:val="1"/>
      <w:numFmt w:val="bullet"/>
      <w:lvlText w:val=""/>
      <w:lvlPicBulletId w:val="0"/>
      <w:lvlJc w:val="left"/>
      <w:pPr>
        <w:tabs>
          <w:tab w:val="num" w:pos="5040"/>
        </w:tabs>
        <w:ind w:left="5040" w:hanging="360"/>
      </w:pPr>
      <w:rPr>
        <w:rFonts w:ascii="Symbol" w:hAnsi="Symbol" w:hint="default"/>
      </w:rPr>
    </w:lvl>
    <w:lvl w:ilvl="7" w:tplc="E87A499E" w:tentative="1">
      <w:start w:val="1"/>
      <w:numFmt w:val="bullet"/>
      <w:lvlText w:val=""/>
      <w:lvlPicBulletId w:val="0"/>
      <w:lvlJc w:val="left"/>
      <w:pPr>
        <w:tabs>
          <w:tab w:val="num" w:pos="5760"/>
        </w:tabs>
        <w:ind w:left="5760" w:hanging="360"/>
      </w:pPr>
      <w:rPr>
        <w:rFonts w:ascii="Symbol" w:hAnsi="Symbol" w:hint="default"/>
      </w:rPr>
    </w:lvl>
    <w:lvl w:ilvl="8" w:tplc="A67EDF04"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63AA3D88"/>
    <w:multiLevelType w:val="hybridMultilevel"/>
    <w:tmpl w:val="731A26C6"/>
    <w:lvl w:ilvl="0" w:tplc="906E3CD2">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44909CE"/>
    <w:multiLevelType w:val="hybridMultilevel"/>
    <w:tmpl w:val="C520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CF1963"/>
    <w:multiLevelType w:val="hybridMultilevel"/>
    <w:tmpl w:val="38EAD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669CC"/>
    <w:multiLevelType w:val="hybridMultilevel"/>
    <w:tmpl w:val="F31A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6"/>
  </w:num>
  <w:num w:numId="3">
    <w:abstractNumId w:val="26"/>
  </w:num>
  <w:num w:numId="4">
    <w:abstractNumId w:val="5"/>
  </w:num>
  <w:num w:numId="5">
    <w:abstractNumId w:val="12"/>
  </w:num>
  <w:num w:numId="6">
    <w:abstractNumId w:val="41"/>
  </w:num>
  <w:num w:numId="7">
    <w:abstractNumId w:val="21"/>
  </w:num>
  <w:num w:numId="8">
    <w:abstractNumId w:val="22"/>
  </w:num>
  <w:num w:numId="9">
    <w:abstractNumId w:val="20"/>
  </w:num>
  <w:num w:numId="10">
    <w:abstractNumId w:val="32"/>
  </w:num>
  <w:num w:numId="11">
    <w:abstractNumId w:val="8"/>
  </w:num>
  <w:num w:numId="12">
    <w:abstractNumId w:val="13"/>
  </w:num>
  <w:num w:numId="13">
    <w:abstractNumId w:val="11"/>
  </w:num>
  <w:num w:numId="14">
    <w:abstractNumId w:val="10"/>
  </w:num>
  <w:num w:numId="15">
    <w:abstractNumId w:val="37"/>
  </w:num>
  <w:num w:numId="16">
    <w:abstractNumId w:val="45"/>
  </w:num>
  <w:num w:numId="17">
    <w:abstractNumId w:val="23"/>
  </w:num>
  <w:num w:numId="18">
    <w:abstractNumId w:val="34"/>
  </w:num>
  <w:num w:numId="19">
    <w:abstractNumId w:val="44"/>
  </w:num>
  <w:num w:numId="20">
    <w:abstractNumId w:val="28"/>
  </w:num>
  <w:num w:numId="21">
    <w:abstractNumId w:val="38"/>
  </w:num>
  <w:num w:numId="22">
    <w:abstractNumId w:val="42"/>
  </w:num>
  <w:num w:numId="23">
    <w:abstractNumId w:val="15"/>
  </w:num>
  <w:num w:numId="24">
    <w:abstractNumId w:val="25"/>
  </w:num>
  <w:num w:numId="25">
    <w:abstractNumId w:val="4"/>
  </w:num>
  <w:num w:numId="26">
    <w:abstractNumId w:val="40"/>
  </w:num>
  <w:num w:numId="27">
    <w:abstractNumId w:val="16"/>
  </w:num>
  <w:num w:numId="28">
    <w:abstractNumId w:val="39"/>
  </w:num>
  <w:num w:numId="29">
    <w:abstractNumId w:val="43"/>
  </w:num>
  <w:num w:numId="30">
    <w:abstractNumId w:val="3"/>
  </w:num>
  <w:num w:numId="31">
    <w:abstractNumId w:val="17"/>
  </w:num>
  <w:num w:numId="32">
    <w:abstractNumId w:val="1"/>
  </w:num>
  <w:num w:numId="33">
    <w:abstractNumId w:val="31"/>
  </w:num>
  <w:num w:numId="34">
    <w:abstractNumId w:val="29"/>
  </w:num>
  <w:num w:numId="35">
    <w:abstractNumId w:val="33"/>
  </w:num>
  <w:num w:numId="36">
    <w:abstractNumId w:val="0"/>
  </w:num>
  <w:num w:numId="37">
    <w:abstractNumId w:val="9"/>
  </w:num>
  <w:num w:numId="38">
    <w:abstractNumId w:val="30"/>
  </w:num>
  <w:num w:numId="39">
    <w:abstractNumId w:val="24"/>
  </w:num>
  <w:num w:numId="40">
    <w:abstractNumId w:val="36"/>
  </w:num>
  <w:num w:numId="41">
    <w:abstractNumId w:val="7"/>
  </w:num>
  <w:num w:numId="42">
    <w:abstractNumId w:val="35"/>
  </w:num>
  <w:num w:numId="43">
    <w:abstractNumId w:val="2"/>
  </w:num>
  <w:num w:numId="44">
    <w:abstractNumId w:val="27"/>
  </w:num>
  <w:num w:numId="45">
    <w:abstractNumId w:val="14"/>
  </w:num>
  <w:num w:numId="46">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313"/>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536"/>
    <w:rsid w:val="00053A47"/>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3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618"/>
    <w:rsid w:val="00094EF2"/>
    <w:rsid w:val="00095489"/>
    <w:rsid w:val="0009559C"/>
    <w:rsid w:val="0009709B"/>
    <w:rsid w:val="000A0D72"/>
    <w:rsid w:val="000A0E99"/>
    <w:rsid w:val="000A19B6"/>
    <w:rsid w:val="000A1D49"/>
    <w:rsid w:val="000A1FB3"/>
    <w:rsid w:val="000A24BD"/>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5D"/>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2FA5"/>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035"/>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4D4C"/>
    <w:rsid w:val="00124F9D"/>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47FFC"/>
    <w:rsid w:val="0015019F"/>
    <w:rsid w:val="00151516"/>
    <w:rsid w:val="00151805"/>
    <w:rsid w:val="00151D5F"/>
    <w:rsid w:val="001529E0"/>
    <w:rsid w:val="00152BA8"/>
    <w:rsid w:val="00153A6B"/>
    <w:rsid w:val="00153E38"/>
    <w:rsid w:val="001544AB"/>
    <w:rsid w:val="0015452C"/>
    <w:rsid w:val="00154BE2"/>
    <w:rsid w:val="00155732"/>
    <w:rsid w:val="00155BCB"/>
    <w:rsid w:val="00155C4B"/>
    <w:rsid w:val="00155E24"/>
    <w:rsid w:val="001560ED"/>
    <w:rsid w:val="001563F1"/>
    <w:rsid w:val="001572A5"/>
    <w:rsid w:val="0015737A"/>
    <w:rsid w:val="00157847"/>
    <w:rsid w:val="00160786"/>
    <w:rsid w:val="00160A67"/>
    <w:rsid w:val="0016191B"/>
    <w:rsid w:val="00161AEB"/>
    <w:rsid w:val="00162262"/>
    <w:rsid w:val="00162BD5"/>
    <w:rsid w:val="001630E4"/>
    <w:rsid w:val="001639BC"/>
    <w:rsid w:val="0016465B"/>
    <w:rsid w:val="001647FA"/>
    <w:rsid w:val="00166868"/>
    <w:rsid w:val="001669CF"/>
    <w:rsid w:val="00167857"/>
    <w:rsid w:val="00167C50"/>
    <w:rsid w:val="00171FD2"/>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3F0E"/>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644"/>
    <w:rsid w:val="001D2E6C"/>
    <w:rsid w:val="001D333B"/>
    <w:rsid w:val="001D506F"/>
    <w:rsid w:val="001D57BC"/>
    <w:rsid w:val="001D59DC"/>
    <w:rsid w:val="001D6EEB"/>
    <w:rsid w:val="001D6F30"/>
    <w:rsid w:val="001D7260"/>
    <w:rsid w:val="001D7816"/>
    <w:rsid w:val="001D784C"/>
    <w:rsid w:val="001D7B96"/>
    <w:rsid w:val="001E0873"/>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4A"/>
    <w:rsid w:val="002063A7"/>
    <w:rsid w:val="0020675E"/>
    <w:rsid w:val="00206E5A"/>
    <w:rsid w:val="00207613"/>
    <w:rsid w:val="00207847"/>
    <w:rsid w:val="00207934"/>
    <w:rsid w:val="002102DC"/>
    <w:rsid w:val="00210301"/>
    <w:rsid w:val="002106D1"/>
    <w:rsid w:val="002107A8"/>
    <w:rsid w:val="00210812"/>
    <w:rsid w:val="00210A2E"/>
    <w:rsid w:val="00210C91"/>
    <w:rsid w:val="002116CA"/>
    <w:rsid w:val="00213C10"/>
    <w:rsid w:val="00213F4E"/>
    <w:rsid w:val="00213F9D"/>
    <w:rsid w:val="00214132"/>
    <w:rsid w:val="00214E0D"/>
    <w:rsid w:val="0021517F"/>
    <w:rsid w:val="002159DE"/>
    <w:rsid w:val="00216399"/>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94"/>
    <w:rsid w:val="002314BC"/>
    <w:rsid w:val="002314EE"/>
    <w:rsid w:val="00231C70"/>
    <w:rsid w:val="00231D6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64A"/>
    <w:rsid w:val="00296FD8"/>
    <w:rsid w:val="0029743A"/>
    <w:rsid w:val="00297DBE"/>
    <w:rsid w:val="002A0724"/>
    <w:rsid w:val="002A07C1"/>
    <w:rsid w:val="002A08EC"/>
    <w:rsid w:val="002A1642"/>
    <w:rsid w:val="002A1DF0"/>
    <w:rsid w:val="002A205B"/>
    <w:rsid w:val="002A3511"/>
    <w:rsid w:val="002A3668"/>
    <w:rsid w:val="002A53DF"/>
    <w:rsid w:val="002B03CD"/>
    <w:rsid w:val="002B07BF"/>
    <w:rsid w:val="002B0805"/>
    <w:rsid w:val="002B09B2"/>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442"/>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8F5"/>
    <w:rsid w:val="002E6C03"/>
    <w:rsid w:val="002F0045"/>
    <w:rsid w:val="002F025B"/>
    <w:rsid w:val="002F0A26"/>
    <w:rsid w:val="002F1E03"/>
    <w:rsid w:val="002F2AE0"/>
    <w:rsid w:val="002F2FB7"/>
    <w:rsid w:val="002F3827"/>
    <w:rsid w:val="002F413F"/>
    <w:rsid w:val="002F44AD"/>
    <w:rsid w:val="002F45D3"/>
    <w:rsid w:val="002F48EE"/>
    <w:rsid w:val="002F53C6"/>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21B4"/>
    <w:rsid w:val="003230B0"/>
    <w:rsid w:val="0032430E"/>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364DE"/>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AA6"/>
    <w:rsid w:val="00354D13"/>
    <w:rsid w:val="00355C3F"/>
    <w:rsid w:val="00355DD1"/>
    <w:rsid w:val="00356304"/>
    <w:rsid w:val="00356CEC"/>
    <w:rsid w:val="00357034"/>
    <w:rsid w:val="00357522"/>
    <w:rsid w:val="003576D7"/>
    <w:rsid w:val="00357712"/>
    <w:rsid w:val="0036185C"/>
    <w:rsid w:val="00361AFA"/>
    <w:rsid w:val="00362C5A"/>
    <w:rsid w:val="00362FFF"/>
    <w:rsid w:val="00364283"/>
    <w:rsid w:val="003643CE"/>
    <w:rsid w:val="00364C7A"/>
    <w:rsid w:val="00365493"/>
    <w:rsid w:val="0036641B"/>
    <w:rsid w:val="003670A6"/>
    <w:rsid w:val="00367CE6"/>
    <w:rsid w:val="00370042"/>
    <w:rsid w:val="00370285"/>
    <w:rsid w:val="003703C5"/>
    <w:rsid w:val="00370EFD"/>
    <w:rsid w:val="0037164C"/>
    <w:rsid w:val="003719F5"/>
    <w:rsid w:val="003721FC"/>
    <w:rsid w:val="00372A6B"/>
    <w:rsid w:val="003741D2"/>
    <w:rsid w:val="00374804"/>
    <w:rsid w:val="00374F06"/>
    <w:rsid w:val="00375359"/>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6B87"/>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1D7D"/>
    <w:rsid w:val="003D2339"/>
    <w:rsid w:val="003D26AA"/>
    <w:rsid w:val="003D3C11"/>
    <w:rsid w:val="003D4350"/>
    <w:rsid w:val="003D4409"/>
    <w:rsid w:val="003D4A54"/>
    <w:rsid w:val="003D5717"/>
    <w:rsid w:val="003D5B80"/>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C0C"/>
    <w:rsid w:val="004055EE"/>
    <w:rsid w:val="00405EFB"/>
    <w:rsid w:val="0040689B"/>
    <w:rsid w:val="00406F4B"/>
    <w:rsid w:val="004073B0"/>
    <w:rsid w:val="0041093B"/>
    <w:rsid w:val="00410BEC"/>
    <w:rsid w:val="004110C3"/>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359"/>
    <w:rsid w:val="0042654A"/>
    <w:rsid w:val="00426761"/>
    <w:rsid w:val="00426AA7"/>
    <w:rsid w:val="00427478"/>
    <w:rsid w:val="004276E3"/>
    <w:rsid w:val="0042795C"/>
    <w:rsid w:val="00427E67"/>
    <w:rsid w:val="00430178"/>
    <w:rsid w:val="00430250"/>
    <w:rsid w:val="004309F8"/>
    <w:rsid w:val="00431843"/>
    <w:rsid w:val="0043270B"/>
    <w:rsid w:val="004327F9"/>
    <w:rsid w:val="00432E20"/>
    <w:rsid w:val="00432F8F"/>
    <w:rsid w:val="0043424B"/>
    <w:rsid w:val="0043480E"/>
    <w:rsid w:val="00434837"/>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BB3"/>
    <w:rsid w:val="00444D83"/>
    <w:rsid w:val="00444E09"/>
    <w:rsid w:val="00444F64"/>
    <w:rsid w:val="004450CE"/>
    <w:rsid w:val="00445513"/>
    <w:rsid w:val="00445CFF"/>
    <w:rsid w:val="004462AF"/>
    <w:rsid w:val="00446D2B"/>
    <w:rsid w:val="0044760F"/>
    <w:rsid w:val="00450792"/>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CDB"/>
    <w:rsid w:val="00475260"/>
    <w:rsid w:val="00475596"/>
    <w:rsid w:val="004759AD"/>
    <w:rsid w:val="00476D8B"/>
    <w:rsid w:val="0047703F"/>
    <w:rsid w:val="0047765A"/>
    <w:rsid w:val="0047786D"/>
    <w:rsid w:val="00477FF7"/>
    <w:rsid w:val="00480F17"/>
    <w:rsid w:val="004813F5"/>
    <w:rsid w:val="00481607"/>
    <w:rsid w:val="004820E3"/>
    <w:rsid w:val="00482F21"/>
    <w:rsid w:val="00483D11"/>
    <w:rsid w:val="00483D84"/>
    <w:rsid w:val="00483FB8"/>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463"/>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B735F"/>
    <w:rsid w:val="004C0346"/>
    <w:rsid w:val="004C0B5B"/>
    <w:rsid w:val="004C0F99"/>
    <w:rsid w:val="004C130D"/>
    <w:rsid w:val="004C1E76"/>
    <w:rsid w:val="004C20B1"/>
    <w:rsid w:val="004C2373"/>
    <w:rsid w:val="004C2F01"/>
    <w:rsid w:val="004C35D8"/>
    <w:rsid w:val="004C3974"/>
    <w:rsid w:val="004C44D3"/>
    <w:rsid w:val="004C4711"/>
    <w:rsid w:val="004C4C9E"/>
    <w:rsid w:val="004C4DD9"/>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D78D3"/>
    <w:rsid w:val="004E0289"/>
    <w:rsid w:val="004E03BE"/>
    <w:rsid w:val="004E0821"/>
    <w:rsid w:val="004E0BDC"/>
    <w:rsid w:val="004E0CD0"/>
    <w:rsid w:val="004E0E39"/>
    <w:rsid w:val="004E12EB"/>
    <w:rsid w:val="004E1498"/>
    <w:rsid w:val="004E15F0"/>
    <w:rsid w:val="004E2049"/>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CC3"/>
    <w:rsid w:val="00513F8F"/>
    <w:rsid w:val="005147E7"/>
    <w:rsid w:val="005149A2"/>
    <w:rsid w:val="005150E4"/>
    <w:rsid w:val="00515585"/>
    <w:rsid w:val="005157A7"/>
    <w:rsid w:val="005157BE"/>
    <w:rsid w:val="00515E2B"/>
    <w:rsid w:val="005162B0"/>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408FD"/>
    <w:rsid w:val="005417A0"/>
    <w:rsid w:val="005422E8"/>
    <w:rsid w:val="005426C4"/>
    <w:rsid w:val="00543342"/>
    <w:rsid w:val="00543A66"/>
    <w:rsid w:val="0054556C"/>
    <w:rsid w:val="0054556F"/>
    <w:rsid w:val="00545AF7"/>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3FCF"/>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38D"/>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0D98"/>
    <w:rsid w:val="005A167B"/>
    <w:rsid w:val="005A2229"/>
    <w:rsid w:val="005A2832"/>
    <w:rsid w:val="005A320D"/>
    <w:rsid w:val="005A3468"/>
    <w:rsid w:val="005A35EA"/>
    <w:rsid w:val="005A36E3"/>
    <w:rsid w:val="005A4A64"/>
    <w:rsid w:val="005A50FE"/>
    <w:rsid w:val="005A59CF"/>
    <w:rsid w:val="005A6B27"/>
    <w:rsid w:val="005A6CB4"/>
    <w:rsid w:val="005A7ECD"/>
    <w:rsid w:val="005A7F72"/>
    <w:rsid w:val="005B097C"/>
    <w:rsid w:val="005B1CC4"/>
    <w:rsid w:val="005B1D3E"/>
    <w:rsid w:val="005B2EB8"/>
    <w:rsid w:val="005B33A1"/>
    <w:rsid w:val="005B5251"/>
    <w:rsid w:val="005B533B"/>
    <w:rsid w:val="005B54FE"/>
    <w:rsid w:val="005B5A55"/>
    <w:rsid w:val="005B5F56"/>
    <w:rsid w:val="005B5F68"/>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876"/>
    <w:rsid w:val="005D5E46"/>
    <w:rsid w:val="005D64A5"/>
    <w:rsid w:val="005D680B"/>
    <w:rsid w:val="005D6B30"/>
    <w:rsid w:val="005D7AA9"/>
    <w:rsid w:val="005E0010"/>
    <w:rsid w:val="005E0EAD"/>
    <w:rsid w:val="005E0EB3"/>
    <w:rsid w:val="005E0EB9"/>
    <w:rsid w:val="005E1F47"/>
    <w:rsid w:val="005E260D"/>
    <w:rsid w:val="005E35FD"/>
    <w:rsid w:val="005E383F"/>
    <w:rsid w:val="005E5220"/>
    <w:rsid w:val="005E7698"/>
    <w:rsid w:val="005E77D7"/>
    <w:rsid w:val="005E7A94"/>
    <w:rsid w:val="005E7CAF"/>
    <w:rsid w:val="005F0931"/>
    <w:rsid w:val="005F0C46"/>
    <w:rsid w:val="005F12CD"/>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4B0"/>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5E"/>
    <w:rsid w:val="00615BDB"/>
    <w:rsid w:val="00616A04"/>
    <w:rsid w:val="0061717F"/>
    <w:rsid w:val="00617D03"/>
    <w:rsid w:val="00617E9E"/>
    <w:rsid w:val="00620686"/>
    <w:rsid w:val="006209E8"/>
    <w:rsid w:val="00621B11"/>
    <w:rsid w:val="00621C0B"/>
    <w:rsid w:val="00621CAD"/>
    <w:rsid w:val="00622A7E"/>
    <w:rsid w:val="0062317C"/>
    <w:rsid w:val="00623802"/>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44B"/>
    <w:rsid w:val="006427D6"/>
    <w:rsid w:val="006428E2"/>
    <w:rsid w:val="00642D10"/>
    <w:rsid w:val="006430B5"/>
    <w:rsid w:val="00644200"/>
    <w:rsid w:val="006467EE"/>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F61"/>
    <w:rsid w:val="006979CD"/>
    <w:rsid w:val="00697FE2"/>
    <w:rsid w:val="006A0183"/>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2F9C"/>
    <w:rsid w:val="006B3AD6"/>
    <w:rsid w:val="006B4F5B"/>
    <w:rsid w:val="006B5922"/>
    <w:rsid w:val="006B67DE"/>
    <w:rsid w:val="006B6C94"/>
    <w:rsid w:val="006B6E3E"/>
    <w:rsid w:val="006C0900"/>
    <w:rsid w:val="006C09DD"/>
    <w:rsid w:val="006C369C"/>
    <w:rsid w:val="006C373A"/>
    <w:rsid w:val="006C375B"/>
    <w:rsid w:val="006C3F49"/>
    <w:rsid w:val="006C40FA"/>
    <w:rsid w:val="006C4260"/>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40A5"/>
    <w:rsid w:val="006E512D"/>
    <w:rsid w:val="006E53A6"/>
    <w:rsid w:val="006E5930"/>
    <w:rsid w:val="006E5C3A"/>
    <w:rsid w:val="006E6F79"/>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924"/>
    <w:rsid w:val="00735D01"/>
    <w:rsid w:val="00735DF3"/>
    <w:rsid w:val="0073642C"/>
    <w:rsid w:val="00736B96"/>
    <w:rsid w:val="00736BD5"/>
    <w:rsid w:val="00736BED"/>
    <w:rsid w:val="00736E2F"/>
    <w:rsid w:val="0073725A"/>
    <w:rsid w:val="007377ED"/>
    <w:rsid w:val="00737B9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819"/>
    <w:rsid w:val="00753DAC"/>
    <w:rsid w:val="00753DDF"/>
    <w:rsid w:val="00754E83"/>
    <w:rsid w:val="00754FB6"/>
    <w:rsid w:val="00755151"/>
    <w:rsid w:val="0075578C"/>
    <w:rsid w:val="00755A2F"/>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48A7"/>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595"/>
    <w:rsid w:val="0079484F"/>
    <w:rsid w:val="00794A24"/>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DB6"/>
    <w:rsid w:val="007C64BC"/>
    <w:rsid w:val="007C6714"/>
    <w:rsid w:val="007C675F"/>
    <w:rsid w:val="007C6835"/>
    <w:rsid w:val="007C6B09"/>
    <w:rsid w:val="007C7EF3"/>
    <w:rsid w:val="007D0118"/>
    <w:rsid w:val="007D014E"/>
    <w:rsid w:val="007D10B7"/>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58B6"/>
    <w:rsid w:val="007E6477"/>
    <w:rsid w:val="007E686B"/>
    <w:rsid w:val="007E6D46"/>
    <w:rsid w:val="007E6DA8"/>
    <w:rsid w:val="007E7A3E"/>
    <w:rsid w:val="007F05E0"/>
    <w:rsid w:val="007F0AE2"/>
    <w:rsid w:val="007F0DD3"/>
    <w:rsid w:val="007F163D"/>
    <w:rsid w:val="007F1A2B"/>
    <w:rsid w:val="007F1C1B"/>
    <w:rsid w:val="007F2B50"/>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6AC8"/>
    <w:rsid w:val="00817025"/>
    <w:rsid w:val="00820221"/>
    <w:rsid w:val="00820759"/>
    <w:rsid w:val="0082081A"/>
    <w:rsid w:val="00820B06"/>
    <w:rsid w:val="00820E25"/>
    <w:rsid w:val="00821167"/>
    <w:rsid w:val="00821737"/>
    <w:rsid w:val="00821B0B"/>
    <w:rsid w:val="00821D40"/>
    <w:rsid w:val="008237B2"/>
    <w:rsid w:val="00827A8A"/>
    <w:rsid w:val="00830458"/>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6AD6"/>
    <w:rsid w:val="0084760D"/>
    <w:rsid w:val="00847873"/>
    <w:rsid w:val="00847991"/>
    <w:rsid w:val="00847C4E"/>
    <w:rsid w:val="0085172A"/>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5EA8"/>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0F5"/>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33"/>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0265"/>
    <w:rsid w:val="008F23C7"/>
    <w:rsid w:val="008F2A4E"/>
    <w:rsid w:val="008F3A8D"/>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6"/>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7CFD"/>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2C4B"/>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1F2"/>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872"/>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45D7"/>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709"/>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52D"/>
    <w:rsid w:val="009C6768"/>
    <w:rsid w:val="009C6894"/>
    <w:rsid w:val="009C6B3B"/>
    <w:rsid w:val="009C6B7B"/>
    <w:rsid w:val="009C6DA9"/>
    <w:rsid w:val="009C72CD"/>
    <w:rsid w:val="009D03C7"/>
    <w:rsid w:val="009D22EA"/>
    <w:rsid w:val="009D2A1A"/>
    <w:rsid w:val="009D2C4C"/>
    <w:rsid w:val="009D2C71"/>
    <w:rsid w:val="009D341F"/>
    <w:rsid w:val="009D3508"/>
    <w:rsid w:val="009D3879"/>
    <w:rsid w:val="009D4303"/>
    <w:rsid w:val="009D4A8E"/>
    <w:rsid w:val="009D50E8"/>
    <w:rsid w:val="009D5637"/>
    <w:rsid w:val="009D57D5"/>
    <w:rsid w:val="009D5B49"/>
    <w:rsid w:val="009D5D05"/>
    <w:rsid w:val="009D62E7"/>
    <w:rsid w:val="009D6342"/>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5DBB"/>
    <w:rsid w:val="009E6928"/>
    <w:rsid w:val="009E732A"/>
    <w:rsid w:val="009E73D9"/>
    <w:rsid w:val="009F0BCF"/>
    <w:rsid w:val="009F0CD1"/>
    <w:rsid w:val="009F115A"/>
    <w:rsid w:val="009F15B3"/>
    <w:rsid w:val="009F187B"/>
    <w:rsid w:val="009F2BD5"/>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2E0F"/>
    <w:rsid w:val="00A0345F"/>
    <w:rsid w:val="00A04447"/>
    <w:rsid w:val="00A0526B"/>
    <w:rsid w:val="00A05B8C"/>
    <w:rsid w:val="00A05CB6"/>
    <w:rsid w:val="00A05E97"/>
    <w:rsid w:val="00A05F8B"/>
    <w:rsid w:val="00A066E7"/>
    <w:rsid w:val="00A0678E"/>
    <w:rsid w:val="00A06EE7"/>
    <w:rsid w:val="00A07654"/>
    <w:rsid w:val="00A07B16"/>
    <w:rsid w:val="00A07DCC"/>
    <w:rsid w:val="00A07FA3"/>
    <w:rsid w:val="00A10B48"/>
    <w:rsid w:val="00A11ACA"/>
    <w:rsid w:val="00A11E0F"/>
    <w:rsid w:val="00A12206"/>
    <w:rsid w:val="00A12B70"/>
    <w:rsid w:val="00A12BEE"/>
    <w:rsid w:val="00A13715"/>
    <w:rsid w:val="00A13A3E"/>
    <w:rsid w:val="00A14566"/>
    <w:rsid w:val="00A145D0"/>
    <w:rsid w:val="00A157EC"/>
    <w:rsid w:val="00A17345"/>
    <w:rsid w:val="00A1789B"/>
    <w:rsid w:val="00A203ED"/>
    <w:rsid w:val="00A205BF"/>
    <w:rsid w:val="00A2089C"/>
    <w:rsid w:val="00A20D0A"/>
    <w:rsid w:val="00A20EB0"/>
    <w:rsid w:val="00A2104B"/>
    <w:rsid w:val="00A210E9"/>
    <w:rsid w:val="00A213B0"/>
    <w:rsid w:val="00A21AAA"/>
    <w:rsid w:val="00A21FEA"/>
    <w:rsid w:val="00A23DD3"/>
    <w:rsid w:val="00A2470A"/>
    <w:rsid w:val="00A2481C"/>
    <w:rsid w:val="00A2627F"/>
    <w:rsid w:val="00A26883"/>
    <w:rsid w:val="00A30BAE"/>
    <w:rsid w:val="00A30C48"/>
    <w:rsid w:val="00A30D43"/>
    <w:rsid w:val="00A314A9"/>
    <w:rsid w:val="00A31591"/>
    <w:rsid w:val="00A31792"/>
    <w:rsid w:val="00A31927"/>
    <w:rsid w:val="00A31BB3"/>
    <w:rsid w:val="00A31F50"/>
    <w:rsid w:val="00A321EE"/>
    <w:rsid w:val="00A324A3"/>
    <w:rsid w:val="00A325C2"/>
    <w:rsid w:val="00A32C37"/>
    <w:rsid w:val="00A3368E"/>
    <w:rsid w:val="00A348AD"/>
    <w:rsid w:val="00A34AB8"/>
    <w:rsid w:val="00A3533F"/>
    <w:rsid w:val="00A3673E"/>
    <w:rsid w:val="00A36A51"/>
    <w:rsid w:val="00A37165"/>
    <w:rsid w:val="00A402CC"/>
    <w:rsid w:val="00A402D3"/>
    <w:rsid w:val="00A42777"/>
    <w:rsid w:val="00A43201"/>
    <w:rsid w:val="00A4329C"/>
    <w:rsid w:val="00A4339C"/>
    <w:rsid w:val="00A436C2"/>
    <w:rsid w:val="00A449D2"/>
    <w:rsid w:val="00A44E28"/>
    <w:rsid w:val="00A451F4"/>
    <w:rsid w:val="00A4528E"/>
    <w:rsid w:val="00A4570E"/>
    <w:rsid w:val="00A4648A"/>
    <w:rsid w:val="00A46B10"/>
    <w:rsid w:val="00A46FAD"/>
    <w:rsid w:val="00A472DB"/>
    <w:rsid w:val="00A5044D"/>
    <w:rsid w:val="00A50726"/>
    <w:rsid w:val="00A50B00"/>
    <w:rsid w:val="00A50E51"/>
    <w:rsid w:val="00A514EB"/>
    <w:rsid w:val="00A518FF"/>
    <w:rsid w:val="00A521E0"/>
    <w:rsid w:val="00A52BE9"/>
    <w:rsid w:val="00A53A79"/>
    <w:rsid w:val="00A53EF2"/>
    <w:rsid w:val="00A54AC8"/>
    <w:rsid w:val="00A54CD7"/>
    <w:rsid w:val="00A54D16"/>
    <w:rsid w:val="00A55877"/>
    <w:rsid w:val="00A55DCC"/>
    <w:rsid w:val="00A5637C"/>
    <w:rsid w:val="00A564A4"/>
    <w:rsid w:val="00A56563"/>
    <w:rsid w:val="00A565A9"/>
    <w:rsid w:val="00A566D2"/>
    <w:rsid w:val="00A568CE"/>
    <w:rsid w:val="00A56BEC"/>
    <w:rsid w:val="00A56C2C"/>
    <w:rsid w:val="00A6099F"/>
    <w:rsid w:val="00A60ED7"/>
    <w:rsid w:val="00A61828"/>
    <w:rsid w:val="00A61E26"/>
    <w:rsid w:val="00A622E2"/>
    <w:rsid w:val="00A62B97"/>
    <w:rsid w:val="00A62FC2"/>
    <w:rsid w:val="00A630C0"/>
    <w:rsid w:val="00A637AF"/>
    <w:rsid w:val="00A63872"/>
    <w:rsid w:val="00A63A37"/>
    <w:rsid w:val="00A63A38"/>
    <w:rsid w:val="00A648F2"/>
    <w:rsid w:val="00A65C98"/>
    <w:rsid w:val="00A6630B"/>
    <w:rsid w:val="00A67A2E"/>
    <w:rsid w:val="00A67A8E"/>
    <w:rsid w:val="00A67DED"/>
    <w:rsid w:val="00A7047C"/>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877F5"/>
    <w:rsid w:val="00A905F1"/>
    <w:rsid w:val="00A90E27"/>
    <w:rsid w:val="00A911C3"/>
    <w:rsid w:val="00A91218"/>
    <w:rsid w:val="00A913B4"/>
    <w:rsid w:val="00A92A8E"/>
    <w:rsid w:val="00A92BA5"/>
    <w:rsid w:val="00A934FE"/>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378"/>
    <w:rsid w:val="00AA4382"/>
    <w:rsid w:val="00AA4409"/>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4DC1"/>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D8A"/>
    <w:rsid w:val="00AF217E"/>
    <w:rsid w:val="00AF2BDA"/>
    <w:rsid w:val="00AF2DE9"/>
    <w:rsid w:val="00AF3C8C"/>
    <w:rsid w:val="00AF3E3E"/>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684"/>
    <w:rsid w:val="00B03D26"/>
    <w:rsid w:val="00B03E14"/>
    <w:rsid w:val="00B04047"/>
    <w:rsid w:val="00B04D36"/>
    <w:rsid w:val="00B04F11"/>
    <w:rsid w:val="00B05155"/>
    <w:rsid w:val="00B05688"/>
    <w:rsid w:val="00B05A41"/>
    <w:rsid w:val="00B060F4"/>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6C"/>
    <w:rsid w:val="00B22CE2"/>
    <w:rsid w:val="00B23216"/>
    <w:rsid w:val="00B2388A"/>
    <w:rsid w:val="00B23960"/>
    <w:rsid w:val="00B24165"/>
    <w:rsid w:val="00B2484E"/>
    <w:rsid w:val="00B24C37"/>
    <w:rsid w:val="00B24F49"/>
    <w:rsid w:val="00B255A7"/>
    <w:rsid w:val="00B25A70"/>
    <w:rsid w:val="00B25C40"/>
    <w:rsid w:val="00B25F9A"/>
    <w:rsid w:val="00B263DD"/>
    <w:rsid w:val="00B27080"/>
    <w:rsid w:val="00B272D3"/>
    <w:rsid w:val="00B30618"/>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0B3"/>
    <w:rsid w:val="00B50D90"/>
    <w:rsid w:val="00B52A20"/>
    <w:rsid w:val="00B52D01"/>
    <w:rsid w:val="00B5470C"/>
    <w:rsid w:val="00B54CD5"/>
    <w:rsid w:val="00B5510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A0D"/>
    <w:rsid w:val="00B70EDB"/>
    <w:rsid w:val="00B71A5D"/>
    <w:rsid w:val="00B71F17"/>
    <w:rsid w:val="00B72444"/>
    <w:rsid w:val="00B731BF"/>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5354"/>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47C"/>
    <w:rsid w:val="00BA659A"/>
    <w:rsid w:val="00BA68C1"/>
    <w:rsid w:val="00BA6E74"/>
    <w:rsid w:val="00BA715B"/>
    <w:rsid w:val="00BA79BC"/>
    <w:rsid w:val="00BA7EB0"/>
    <w:rsid w:val="00BB022B"/>
    <w:rsid w:val="00BB0528"/>
    <w:rsid w:val="00BB07FA"/>
    <w:rsid w:val="00BB10D8"/>
    <w:rsid w:val="00BB1D67"/>
    <w:rsid w:val="00BB214E"/>
    <w:rsid w:val="00BB23BD"/>
    <w:rsid w:val="00BB301E"/>
    <w:rsid w:val="00BB306D"/>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08"/>
    <w:rsid w:val="00BD7F9E"/>
    <w:rsid w:val="00BE09DC"/>
    <w:rsid w:val="00BE0D74"/>
    <w:rsid w:val="00BE1378"/>
    <w:rsid w:val="00BE1A06"/>
    <w:rsid w:val="00BE20F7"/>
    <w:rsid w:val="00BE2BB7"/>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445E"/>
    <w:rsid w:val="00BF4B69"/>
    <w:rsid w:val="00BF4C34"/>
    <w:rsid w:val="00BF51F0"/>
    <w:rsid w:val="00BF60E3"/>
    <w:rsid w:val="00BF67D2"/>
    <w:rsid w:val="00BF70A1"/>
    <w:rsid w:val="00BF710E"/>
    <w:rsid w:val="00BF7D43"/>
    <w:rsid w:val="00C00591"/>
    <w:rsid w:val="00C00B95"/>
    <w:rsid w:val="00C00D06"/>
    <w:rsid w:val="00C00D60"/>
    <w:rsid w:val="00C0119E"/>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64"/>
    <w:rsid w:val="00C36BFA"/>
    <w:rsid w:val="00C37050"/>
    <w:rsid w:val="00C37D75"/>
    <w:rsid w:val="00C37EE7"/>
    <w:rsid w:val="00C4018E"/>
    <w:rsid w:val="00C40FA9"/>
    <w:rsid w:val="00C41332"/>
    <w:rsid w:val="00C419A3"/>
    <w:rsid w:val="00C41B56"/>
    <w:rsid w:val="00C41D2B"/>
    <w:rsid w:val="00C444D9"/>
    <w:rsid w:val="00C44500"/>
    <w:rsid w:val="00C447FB"/>
    <w:rsid w:val="00C460CA"/>
    <w:rsid w:val="00C46896"/>
    <w:rsid w:val="00C468D9"/>
    <w:rsid w:val="00C479D8"/>
    <w:rsid w:val="00C47AE8"/>
    <w:rsid w:val="00C50066"/>
    <w:rsid w:val="00C5017F"/>
    <w:rsid w:val="00C51B51"/>
    <w:rsid w:val="00C51F1A"/>
    <w:rsid w:val="00C522F8"/>
    <w:rsid w:val="00C5257E"/>
    <w:rsid w:val="00C52BD9"/>
    <w:rsid w:val="00C52FE0"/>
    <w:rsid w:val="00C5320E"/>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21"/>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EB8"/>
    <w:rsid w:val="00C82C71"/>
    <w:rsid w:val="00C82D09"/>
    <w:rsid w:val="00C82E5F"/>
    <w:rsid w:val="00C83234"/>
    <w:rsid w:val="00C8338A"/>
    <w:rsid w:val="00C84103"/>
    <w:rsid w:val="00C84711"/>
    <w:rsid w:val="00C8567F"/>
    <w:rsid w:val="00C8572A"/>
    <w:rsid w:val="00C85BCA"/>
    <w:rsid w:val="00C8650D"/>
    <w:rsid w:val="00C8781D"/>
    <w:rsid w:val="00C8794B"/>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2E02"/>
    <w:rsid w:val="00CB3010"/>
    <w:rsid w:val="00CB3904"/>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2FB7"/>
    <w:rsid w:val="00CC3929"/>
    <w:rsid w:val="00CC4072"/>
    <w:rsid w:val="00CC5048"/>
    <w:rsid w:val="00CC5A8D"/>
    <w:rsid w:val="00CC606C"/>
    <w:rsid w:val="00CC6B47"/>
    <w:rsid w:val="00CC6ED1"/>
    <w:rsid w:val="00CC71EE"/>
    <w:rsid w:val="00CC7D29"/>
    <w:rsid w:val="00CD06F6"/>
    <w:rsid w:val="00CD084C"/>
    <w:rsid w:val="00CD0974"/>
    <w:rsid w:val="00CD121B"/>
    <w:rsid w:val="00CD1DD3"/>
    <w:rsid w:val="00CD264D"/>
    <w:rsid w:val="00CD305F"/>
    <w:rsid w:val="00CD309B"/>
    <w:rsid w:val="00CD3122"/>
    <w:rsid w:val="00CD3DD7"/>
    <w:rsid w:val="00CD3F09"/>
    <w:rsid w:val="00CD4436"/>
    <w:rsid w:val="00CD492B"/>
    <w:rsid w:val="00CD49DF"/>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7A5"/>
    <w:rsid w:val="00D12BDB"/>
    <w:rsid w:val="00D13880"/>
    <w:rsid w:val="00D13DEA"/>
    <w:rsid w:val="00D14204"/>
    <w:rsid w:val="00D14560"/>
    <w:rsid w:val="00D14F37"/>
    <w:rsid w:val="00D1624D"/>
    <w:rsid w:val="00D164BF"/>
    <w:rsid w:val="00D16A3F"/>
    <w:rsid w:val="00D20083"/>
    <w:rsid w:val="00D20E2C"/>
    <w:rsid w:val="00D217CE"/>
    <w:rsid w:val="00D22050"/>
    <w:rsid w:val="00D22D38"/>
    <w:rsid w:val="00D22EE4"/>
    <w:rsid w:val="00D231AF"/>
    <w:rsid w:val="00D23556"/>
    <w:rsid w:val="00D23FC8"/>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A5C"/>
    <w:rsid w:val="00D44B18"/>
    <w:rsid w:val="00D45E78"/>
    <w:rsid w:val="00D46E80"/>
    <w:rsid w:val="00D46F2D"/>
    <w:rsid w:val="00D46F8F"/>
    <w:rsid w:val="00D475CC"/>
    <w:rsid w:val="00D50835"/>
    <w:rsid w:val="00D50DBE"/>
    <w:rsid w:val="00D50F95"/>
    <w:rsid w:val="00D50FEE"/>
    <w:rsid w:val="00D51017"/>
    <w:rsid w:val="00D51565"/>
    <w:rsid w:val="00D52200"/>
    <w:rsid w:val="00D52F0F"/>
    <w:rsid w:val="00D535D2"/>
    <w:rsid w:val="00D53710"/>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1F29"/>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746E"/>
    <w:rsid w:val="00D8036A"/>
    <w:rsid w:val="00D81307"/>
    <w:rsid w:val="00D820F3"/>
    <w:rsid w:val="00D822CA"/>
    <w:rsid w:val="00D84268"/>
    <w:rsid w:val="00D84515"/>
    <w:rsid w:val="00D84824"/>
    <w:rsid w:val="00D84F73"/>
    <w:rsid w:val="00D8666C"/>
    <w:rsid w:val="00D86B3B"/>
    <w:rsid w:val="00D876BB"/>
    <w:rsid w:val="00D8778A"/>
    <w:rsid w:val="00D87E48"/>
    <w:rsid w:val="00D90348"/>
    <w:rsid w:val="00D90446"/>
    <w:rsid w:val="00D90D31"/>
    <w:rsid w:val="00D9120D"/>
    <w:rsid w:val="00D912DF"/>
    <w:rsid w:val="00D92265"/>
    <w:rsid w:val="00D9230B"/>
    <w:rsid w:val="00D92C49"/>
    <w:rsid w:val="00D92F6C"/>
    <w:rsid w:val="00D93307"/>
    <w:rsid w:val="00D93946"/>
    <w:rsid w:val="00D93FFD"/>
    <w:rsid w:val="00D94372"/>
    <w:rsid w:val="00D9493F"/>
    <w:rsid w:val="00D94FF3"/>
    <w:rsid w:val="00D957C0"/>
    <w:rsid w:val="00D95B59"/>
    <w:rsid w:val="00D95BFF"/>
    <w:rsid w:val="00D96AF8"/>
    <w:rsid w:val="00D97458"/>
    <w:rsid w:val="00DA019E"/>
    <w:rsid w:val="00DA0590"/>
    <w:rsid w:val="00DA0F8E"/>
    <w:rsid w:val="00DA0FC0"/>
    <w:rsid w:val="00DA1176"/>
    <w:rsid w:val="00DA12A3"/>
    <w:rsid w:val="00DA1985"/>
    <w:rsid w:val="00DA1D80"/>
    <w:rsid w:val="00DA2046"/>
    <w:rsid w:val="00DA2BCC"/>
    <w:rsid w:val="00DA30FB"/>
    <w:rsid w:val="00DA3F00"/>
    <w:rsid w:val="00DA59CE"/>
    <w:rsid w:val="00DA631B"/>
    <w:rsid w:val="00DA6B8E"/>
    <w:rsid w:val="00DA7074"/>
    <w:rsid w:val="00DA727D"/>
    <w:rsid w:val="00DA773F"/>
    <w:rsid w:val="00DA7BC7"/>
    <w:rsid w:val="00DB0564"/>
    <w:rsid w:val="00DB0DF2"/>
    <w:rsid w:val="00DB1539"/>
    <w:rsid w:val="00DB2014"/>
    <w:rsid w:val="00DB21E6"/>
    <w:rsid w:val="00DB220E"/>
    <w:rsid w:val="00DB2369"/>
    <w:rsid w:val="00DB2559"/>
    <w:rsid w:val="00DB272C"/>
    <w:rsid w:val="00DB30A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D71"/>
    <w:rsid w:val="00DC4A29"/>
    <w:rsid w:val="00DC4A38"/>
    <w:rsid w:val="00DC4B4C"/>
    <w:rsid w:val="00DC4E8D"/>
    <w:rsid w:val="00DC5A5E"/>
    <w:rsid w:val="00DC5CB8"/>
    <w:rsid w:val="00DC60E1"/>
    <w:rsid w:val="00DC6A94"/>
    <w:rsid w:val="00DC6E6F"/>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36E"/>
    <w:rsid w:val="00DF02EC"/>
    <w:rsid w:val="00DF098C"/>
    <w:rsid w:val="00DF1249"/>
    <w:rsid w:val="00DF24B9"/>
    <w:rsid w:val="00DF2DA0"/>
    <w:rsid w:val="00DF32AF"/>
    <w:rsid w:val="00DF3E4D"/>
    <w:rsid w:val="00DF42F3"/>
    <w:rsid w:val="00DF46CF"/>
    <w:rsid w:val="00DF4D70"/>
    <w:rsid w:val="00DF4F19"/>
    <w:rsid w:val="00DF5270"/>
    <w:rsid w:val="00DF5374"/>
    <w:rsid w:val="00DF55FC"/>
    <w:rsid w:val="00DF5D97"/>
    <w:rsid w:val="00DF621B"/>
    <w:rsid w:val="00DF6B34"/>
    <w:rsid w:val="00DF6B69"/>
    <w:rsid w:val="00E00C18"/>
    <w:rsid w:val="00E012D8"/>
    <w:rsid w:val="00E0160D"/>
    <w:rsid w:val="00E0175D"/>
    <w:rsid w:val="00E01982"/>
    <w:rsid w:val="00E028E6"/>
    <w:rsid w:val="00E02DBD"/>
    <w:rsid w:val="00E0321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4B2"/>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3DF7"/>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2EA"/>
    <w:rsid w:val="00E36306"/>
    <w:rsid w:val="00E36C4E"/>
    <w:rsid w:val="00E377BF"/>
    <w:rsid w:val="00E379BC"/>
    <w:rsid w:val="00E41621"/>
    <w:rsid w:val="00E41DBF"/>
    <w:rsid w:val="00E42CC0"/>
    <w:rsid w:val="00E42E31"/>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33E9"/>
    <w:rsid w:val="00E5413F"/>
    <w:rsid w:val="00E541D0"/>
    <w:rsid w:val="00E543CA"/>
    <w:rsid w:val="00E54EC5"/>
    <w:rsid w:val="00E55335"/>
    <w:rsid w:val="00E55D2A"/>
    <w:rsid w:val="00E5614D"/>
    <w:rsid w:val="00E57FA4"/>
    <w:rsid w:val="00E604CF"/>
    <w:rsid w:val="00E60ADA"/>
    <w:rsid w:val="00E61C29"/>
    <w:rsid w:val="00E624D8"/>
    <w:rsid w:val="00E62D17"/>
    <w:rsid w:val="00E632C3"/>
    <w:rsid w:val="00E63DB3"/>
    <w:rsid w:val="00E63F2E"/>
    <w:rsid w:val="00E645DC"/>
    <w:rsid w:val="00E65967"/>
    <w:rsid w:val="00E65EF0"/>
    <w:rsid w:val="00E668E2"/>
    <w:rsid w:val="00E6767F"/>
    <w:rsid w:val="00E67F22"/>
    <w:rsid w:val="00E705E5"/>
    <w:rsid w:val="00E70B0C"/>
    <w:rsid w:val="00E713AC"/>
    <w:rsid w:val="00E71EFF"/>
    <w:rsid w:val="00E72246"/>
    <w:rsid w:val="00E722AC"/>
    <w:rsid w:val="00E723D3"/>
    <w:rsid w:val="00E725B6"/>
    <w:rsid w:val="00E731FD"/>
    <w:rsid w:val="00E73E01"/>
    <w:rsid w:val="00E745BF"/>
    <w:rsid w:val="00E74697"/>
    <w:rsid w:val="00E74F1D"/>
    <w:rsid w:val="00E758C0"/>
    <w:rsid w:val="00E758F4"/>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A81"/>
    <w:rsid w:val="00E94C76"/>
    <w:rsid w:val="00E9572A"/>
    <w:rsid w:val="00E958C1"/>
    <w:rsid w:val="00E960CF"/>
    <w:rsid w:val="00E9627E"/>
    <w:rsid w:val="00E965F5"/>
    <w:rsid w:val="00E96C2A"/>
    <w:rsid w:val="00E96CB1"/>
    <w:rsid w:val="00E96FBC"/>
    <w:rsid w:val="00E9738B"/>
    <w:rsid w:val="00E97732"/>
    <w:rsid w:val="00E97903"/>
    <w:rsid w:val="00E97A1F"/>
    <w:rsid w:val="00EA0214"/>
    <w:rsid w:val="00EA0281"/>
    <w:rsid w:val="00EA0BD3"/>
    <w:rsid w:val="00EA0BFA"/>
    <w:rsid w:val="00EA0CA7"/>
    <w:rsid w:val="00EA0E05"/>
    <w:rsid w:val="00EA0EFC"/>
    <w:rsid w:val="00EA12D3"/>
    <w:rsid w:val="00EA14FA"/>
    <w:rsid w:val="00EA20F1"/>
    <w:rsid w:val="00EA2730"/>
    <w:rsid w:val="00EA42BA"/>
    <w:rsid w:val="00EA4F96"/>
    <w:rsid w:val="00EA531A"/>
    <w:rsid w:val="00EA589B"/>
    <w:rsid w:val="00EA7035"/>
    <w:rsid w:val="00EA7499"/>
    <w:rsid w:val="00EA74E3"/>
    <w:rsid w:val="00EA7744"/>
    <w:rsid w:val="00EA7ADD"/>
    <w:rsid w:val="00EB178A"/>
    <w:rsid w:val="00EB2435"/>
    <w:rsid w:val="00EB3027"/>
    <w:rsid w:val="00EB306C"/>
    <w:rsid w:val="00EB313A"/>
    <w:rsid w:val="00EB3495"/>
    <w:rsid w:val="00EB3934"/>
    <w:rsid w:val="00EB534C"/>
    <w:rsid w:val="00EB5E7D"/>
    <w:rsid w:val="00EB688D"/>
    <w:rsid w:val="00EB7124"/>
    <w:rsid w:val="00EB74DD"/>
    <w:rsid w:val="00EB7E4D"/>
    <w:rsid w:val="00EC0B57"/>
    <w:rsid w:val="00EC12C0"/>
    <w:rsid w:val="00EC142C"/>
    <w:rsid w:val="00EC16D0"/>
    <w:rsid w:val="00EC25D5"/>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09"/>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14EF"/>
    <w:rsid w:val="00F122F2"/>
    <w:rsid w:val="00F14351"/>
    <w:rsid w:val="00F15744"/>
    <w:rsid w:val="00F15A4F"/>
    <w:rsid w:val="00F15B05"/>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33"/>
    <w:rsid w:val="00F50F51"/>
    <w:rsid w:val="00F51318"/>
    <w:rsid w:val="00F51929"/>
    <w:rsid w:val="00F523A6"/>
    <w:rsid w:val="00F52631"/>
    <w:rsid w:val="00F52635"/>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139"/>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5B3"/>
    <w:rsid w:val="00F80D8F"/>
    <w:rsid w:val="00F80E30"/>
    <w:rsid w:val="00F811B1"/>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776B"/>
    <w:rsid w:val="00F90364"/>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708"/>
    <w:rsid w:val="00FB18E8"/>
    <w:rsid w:val="00FB1CBB"/>
    <w:rsid w:val="00FB22E5"/>
    <w:rsid w:val="00FB2312"/>
    <w:rsid w:val="00FB27DF"/>
    <w:rsid w:val="00FB2E86"/>
    <w:rsid w:val="00FB2F94"/>
    <w:rsid w:val="00FB35B8"/>
    <w:rsid w:val="00FB3CD6"/>
    <w:rsid w:val="00FB43D4"/>
    <w:rsid w:val="00FB46A4"/>
    <w:rsid w:val="00FB52FD"/>
    <w:rsid w:val="00FB5689"/>
    <w:rsid w:val="00FB578A"/>
    <w:rsid w:val="00FB5942"/>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C7B5A"/>
    <w:rsid w:val="00FD0386"/>
    <w:rsid w:val="00FD04EB"/>
    <w:rsid w:val="00FD10D2"/>
    <w:rsid w:val="00FD22B6"/>
    <w:rsid w:val="00FD2475"/>
    <w:rsid w:val="00FD25AA"/>
    <w:rsid w:val="00FD2751"/>
    <w:rsid w:val="00FD282A"/>
    <w:rsid w:val="00FD2A71"/>
    <w:rsid w:val="00FD3822"/>
    <w:rsid w:val="00FD3D6F"/>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155C4B"/>
    <w:pPr>
      <w:numPr>
        <w:numId w:val="17"/>
      </w:numPr>
      <w:jc w:val="both"/>
      <w:outlineLvl w:val="1"/>
    </w:pPr>
    <w:rPr>
      <w:lang w:val="en-GB"/>
    </w:rPr>
  </w:style>
  <w:style w:type="paragraph" w:styleId="Heading3">
    <w:name w:val="heading 3"/>
    <w:basedOn w:val="Heading2"/>
    <w:next w:val="Normal"/>
    <w:qFormat/>
    <w:rsid w:val="00155C4B"/>
    <w:pPr>
      <w:numPr>
        <w:numId w:val="15"/>
      </w:numPr>
      <w:spacing w:before="120"/>
      <w:jc w:val="left"/>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14800">
      <w:bodyDiv w:val="1"/>
      <w:marLeft w:val="0"/>
      <w:marRight w:val="0"/>
      <w:marTop w:val="0"/>
      <w:marBottom w:val="0"/>
      <w:divBdr>
        <w:top w:val="none" w:sz="0" w:space="0" w:color="auto"/>
        <w:left w:val="none" w:sz="0" w:space="0" w:color="auto"/>
        <w:bottom w:val="none" w:sz="0" w:space="0" w:color="auto"/>
        <w:right w:val="none" w:sz="0" w:space="0" w:color="auto"/>
      </w:divBdr>
      <w:divsChild>
        <w:div w:id="1463309181">
          <w:marLeft w:val="1166"/>
          <w:marRight w:val="0"/>
          <w:marTop w:val="77"/>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6533475">
      <w:bodyDiv w:val="1"/>
      <w:marLeft w:val="0"/>
      <w:marRight w:val="0"/>
      <w:marTop w:val="0"/>
      <w:marBottom w:val="0"/>
      <w:divBdr>
        <w:top w:val="none" w:sz="0" w:space="0" w:color="auto"/>
        <w:left w:val="none" w:sz="0" w:space="0" w:color="auto"/>
        <w:bottom w:val="none" w:sz="0" w:space="0" w:color="auto"/>
        <w:right w:val="none" w:sz="0" w:space="0" w:color="auto"/>
      </w:divBdr>
      <w:divsChild>
        <w:div w:id="1653018506">
          <w:marLeft w:val="547"/>
          <w:marRight w:val="0"/>
          <w:marTop w:val="115"/>
          <w:marBottom w:val="0"/>
          <w:divBdr>
            <w:top w:val="none" w:sz="0" w:space="0" w:color="auto"/>
            <w:left w:val="none" w:sz="0" w:space="0" w:color="auto"/>
            <w:bottom w:val="none" w:sz="0" w:space="0" w:color="auto"/>
            <w:right w:val="none" w:sz="0" w:space="0" w:color="auto"/>
          </w:divBdr>
        </w:div>
        <w:div w:id="1337074805">
          <w:marLeft w:val="1166"/>
          <w:marRight w:val="0"/>
          <w:marTop w:val="96"/>
          <w:marBottom w:val="0"/>
          <w:divBdr>
            <w:top w:val="none" w:sz="0" w:space="0" w:color="auto"/>
            <w:left w:val="none" w:sz="0" w:space="0" w:color="auto"/>
            <w:bottom w:val="none" w:sz="0" w:space="0" w:color="auto"/>
            <w:right w:val="none" w:sz="0" w:space="0" w:color="auto"/>
          </w:divBdr>
        </w:div>
        <w:div w:id="1079712134">
          <w:marLeft w:val="1166"/>
          <w:marRight w:val="0"/>
          <w:marTop w:val="96"/>
          <w:marBottom w:val="0"/>
          <w:divBdr>
            <w:top w:val="none" w:sz="0" w:space="0" w:color="auto"/>
            <w:left w:val="none" w:sz="0" w:space="0" w:color="auto"/>
            <w:bottom w:val="none" w:sz="0" w:space="0" w:color="auto"/>
            <w:right w:val="none" w:sz="0" w:space="0" w:color="auto"/>
          </w:divBdr>
        </w:div>
        <w:div w:id="1509636257">
          <w:marLeft w:val="1166"/>
          <w:marRight w:val="0"/>
          <w:marTop w:val="9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434224">
      <w:bodyDiv w:val="1"/>
      <w:marLeft w:val="0"/>
      <w:marRight w:val="0"/>
      <w:marTop w:val="0"/>
      <w:marBottom w:val="0"/>
      <w:divBdr>
        <w:top w:val="none" w:sz="0" w:space="0" w:color="auto"/>
        <w:left w:val="none" w:sz="0" w:space="0" w:color="auto"/>
        <w:bottom w:val="none" w:sz="0" w:space="0" w:color="auto"/>
        <w:right w:val="none" w:sz="0" w:space="0" w:color="auto"/>
      </w:divBdr>
      <w:divsChild>
        <w:div w:id="1891914575">
          <w:marLeft w:val="547"/>
          <w:marRight w:val="0"/>
          <w:marTop w:val="96"/>
          <w:marBottom w:val="0"/>
          <w:divBdr>
            <w:top w:val="none" w:sz="0" w:space="0" w:color="auto"/>
            <w:left w:val="none" w:sz="0" w:space="0" w:color="auto"/>
            <w:bottom w:val="none" w:sz="0" w:space="0" w:color="auto"/>
            <w:right w:val="none" w:sz="0" w:space="0" w:color="auto"/>
          </w:divBdr>
        </w:div>
        <w:div w:id="1647585613">
          <w:marLeft w:val="547"/>
          <w:marRight w:val="0"/>
          <w:marTop w:val="96"/>
          <w:marBottom w:val="0"/>
          <w:divBdr>
            <w:top w:val="none" w:sz="0" w:space="0" w:color="auto"/>
            <w:left w:val="none" w:sz="0" w:space="0" w:color="auto"/>
            <w:bottom w:val="none" w:sz="0" w:space="0" w:color="auto"/>
            <w:right w:val="none" w:sz="0" w:space="0" w:color="auto"/>
          </w:divBdr>
        </w:div>
        <w:div w:id="395247844">
          <w:marLeft w:val="1166"/>
          <w:marRight w:val="0"/>
          <w:marTop w:val="82"/>
          <w:marBottom w:val="0"/>
          <w:divBdr>
            <w:top w:val="none" w:sz="0" w:space="0" w:color="auto"/>
            <w:left w:val="none" w:sz="0" w:space="0" w:color="auto"/>
            <w:bottom w:val="none" w:sz="0" w:space="0" w:color="auto"/>
            <w:right w:val="none" w:sz="0" w:space="0" w:color="auto"/>
          </w:divBdr>
        </w:div>
        <w:div w:id="1642005606">
          <w:marLeft w:val="1627"/>
          <w:marRight w:val="0"/>
          <w:marTop w:val="72"/>
          <w:marBottom w:val="0"/>
          <w:divBdr>
            <w:top w:val="none" w:sz="0" w:space="0" w:color="auto"/>
            <w:left w:val="none" w:sz="0" w:space="0" w:color="auto"/>
            <w:bottom w:val="none" w:sz="0" w:space="0" w:color="auto"/>
            <w:right w:val="none" w:sz="0" w:space="0" w:color="auto"/>
          </w:divBdr>
        </w:div>
        <w:div w:id="84688716">
          <w:marLeft w:val="1627"/>
          <w:marRight w:val="0"/>
          <w:marTop w:val="72"/>
          <w:marBottom w:val="0"/>
          <w:divBdr>
            <w:top w:val="none" w:sz="0" w:space="0" w:color="auto"/>
            <w:left w:val="none" w:sz="0" w:space="0" w:color="auto"/>
            <w:bottom w:val="none" w:sz="0" w:space="0" w:color="auto"/>
            <w:right w:val="none" w:sz="0" w:space="0" w:color="auto"/>
          </w:divBdr>
        </w:div>
        <w:div w:id="1139766199">
          <w:marLeft w:val="547"/>
          <w:marRight w:val="0"/>
          <w:marTop w:val="96"/>
          <w:marBottom w:val="0"/>
          <w:divBdr>
            <w:top w:val="none" w:sz="0" w:space="0" w:color="auto"/>
            <w:left w:val="none" w:sz="0" w:space="0" w:color="auto"/>
            <w:bottom w:val="none" w:sz="0" w:space="0" w:color="auto"/>
            <w:right w:val="none" w:sz="0" w:space="0" w:color="auto"/>
          </w:divBdr>
        </w:div>
        <w:div w:id="1231772222">
          <w:marLeft w:val="1166"/>
          <w:marRight w:val="0"/>
          <w:marTop w:val="82"/>
          <w:marBottom w:val="0"/>
          <w:divBdr>
            <w:top w:val="none" w:sz="0" w:space="0" w:color="auto"/>
            <w:left w:val="none" w:sz="0" w:space="0" w:color="auto"/>
            <w:bottom w:val="none" w:sz="0" w:space="0" w:color="auto"/>
            <w:right w:val="none" w:sz="0" w:space="0" w:color="auto"/>
          </w:divBdr>
        </w:div>
        <w:div w:id="1164051893">
          <w:marLeft w:val="1627"/>
          <w:marRight w:val="0"/>
          <w:marTop w:val="72"/>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HR33RHYHUWRF-4-1717</_dlc_DocId>
    <_dlc_DocIdUrl xmlns="c06861ca-3f08-4d07-bff7-bb15bac121f4">
      <Url>https://projects.qualcomm.com/sites/pentari/_layouts/15/DocIdRedir.aspx?ID=HR33RHYHUWRF-4-1717</Url>
      <Description>HR33RHYHUWRF-4-1717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17744-6A20-42D1-AEAD-7BDB892F9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93475B52-F7BB-4863-AF0A-4942A9DB1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757</TotalTime>
  <Pages>6</Pages>
  <Words>2358</Words>
  <Characters>13441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15768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Hosseini, Kianoush</cp:lastModifiedBy>
  <cp:revision>12</cp:revision>
  <cp:lastPrinted>2016-08-10T22:23:00Z</cp:lastPrinted>
  <dcterms:created xsi:type="dcterms:W3CDTF">2017-03-22T06:15:00Z</dcterms:created>
  <dcterms:modified xsi:type="dcterms:W3CDTF">2017-03-24T23:26:00Z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-144850769</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6f8a8f2a-a0d5-4e43-b47d-962e8f7a439c</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-880714568</vt:i4>
  </property>
  <property fmtid="{D5CDD505-2E9C-101B-9397-08002B2CF9AE}" pid="12" name="_ReviewingToolsShownOnce">
    <vt:lpwstr/>
  </property>
</Properties>
</file>